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EB" w:rsidRDefault="000A31EB" w:rsidP="000A31EB">
      <w:pPr>
        <w:jc w:val="center"/>
        <w:rPr>
          <w:rFonts w:ascii="Calibri" w:eastAsia="Times New Roman" w:hAnsi="Calibri" w:cs="Calibri"/>
          <w:b/>
          <w:bCs/>
          <w:color w:val="0D0D0D" w:themeColor="text1" w:themeTint="F2"/>
          <w:sz w:val="96"/>
          <w:szCs w:val="32"/>
          <w:lang w:eastAsia="en-GB"/>
        </w:rPr>
      </w:pPr>
    </w:p>
    <w:p w:rsidR="000A31EB" w:rsidRDefault="000A31EB" w:rsidP="000A31EB">
      <w:pPr>
        <w:jc w:val="center"/>
        <w:rPr>
          <w:rFonts w:ascii="Calibri" w:eastAsia="Times New Roman" w:hAnsi="Calibri" w:cs="Calibri"/>
          <w:b/>
          <w:bCs/>
          <w:color w:val="0D0D0D" w:themeColor="text1" w:themeTint="F2"/>
          <w:sz w:val="96"/>
          <w:szCs w:val="32"/>
          <w:lang w:eastAsia="en-GB"/>
        </w:rPr>
      </w:pPr>
    </w:p>
    <w:p w:rsidR="000A31EB" w:rsidRPr="00CB0EC9" w:rsidRDefault="000A31EB" w:rsidP="000A31EB">
      <w:pPr>
        <w:spacing w:after="0"/>
        <w:jc w:val="center"/>
        <w:rPr>
          <w:rFonts w:eastAsia="Times New Roman" w:cstheme="minorHAnsi"/>
          <w:b/>
          <w:bCs/>
          <w:color w:val="C00000"/>
          <w:sz w:val="96"/>
          <w:szCs w:val="32"/>
          <w:lang w:eastAsia="en-GB"/>
        </w:rPr>
      </w:pPr>
      <w:r w:rsidRPr="00CB0EC9">
        <w:rPr>
          <w:rFonts w:eastAsia="Times New Roman" w:cstheme="minorHAnsi"/>
          <w:b/>
          <w:bCs/>
          <w:color w:val="C00000"/>
          <w:sz w:val="96"/>
          <w:szCs w:val="32"/>
          <w:lang w:eastAsia="en-GB"/>
        </w:rPr>
        <w:t>Institution</w:t>
      </w:r>
    </w:p>
    <w:p w:rsidR="000A31EB" w:rsidRPr="00CB0EC9" w:rsidRDefault="000A31EB" w:rsidP="000A31EB">
      <w:pPr>
        <w:spacing w:after="0"/>
        <w:jc w:val="center"/>
        <w:rPr>
          <w:rFonts w:eastAsia="Times New Roman" w:cstheme="minorHAnsi"/>
          <w:b/>
          <w:bCs/>
          <w:color w:val="C00000"/>
          <w:sz w:val="96"/>
          <w:szCs w:val="32"/>
          <w:lang w:eastAsia="en-GB"/>
        </w:rPr>
      </w:pPr>
      <w:r w:rsidRPr="00CB0EC9">
        <w:rPr>
          <w:rFonts w:eastAsia="Times New Roman" w:cstheme="minorHAnsi"/>
          <w:b/>
          <w:bCs/>
          <w:color w:val="C00000"/>
          <w:sz w:val="96"/>
          <w:szCs w:val="32"/>
          <w:lang w:eastAsia="en-GB"/>
        </w:rPr>
        <w:t xml:space="preserve"> Good Practice Checklist</w:t>
      </w:r>
    </w:p>
    <w:p w:rsidR="00943EC0" w:rsidRPr="00CB0EC9" w:rsidRDefault="009702E7" w:rsidP="00CB0EC9">
      <w:pPr>
        <w:jc w:val="center"/>
        <w:rPr>
          <w:rFonts w:ascii="Calibri" w:eastAsia="Times New Roman" w:hAnsi="Calibri" w:cs="Calibri"/>
          <w:b/>
          <w:bCs/>
          <w:color w:val="C00000"/>
          <w:sz w:val="28"/>
          <w:szCs w:val="32"/>
          <w:lang w:eastAsia="en-GB"/>
        </w:rPr>
      </w:pPr>
      <w:r>
        <w:rPr>
          <w:rFonts w:ascii="Calibri" w:eastAsia="Times New Roman" w:hAnsi="Calibri" w:cs="Calibri"/>
          <w:b/>
          <w:bCs/>
          <w:color w:val="C00000"/>
          <w:sz w:val="28"/>
          <w:szCs w:val="32"/>
          <w:lang w:eastAsia="en-GB"/>
        </w:rPr>
        <w:t>Version 1.11</w:t>
      </w:r>
      <w:r w:rsidR="00CB0EC9" w:rsidRPr="00CB0EC9">
        <w:rPr>
          <w:rFonts w:ascii="Calibri" w:eastAsia="Times New Roman" w:hAnsi="Calibri" w:cs="Calibri"/>
          <w:b/>
          <w:bCs/>
          <w:color w:val="C00000"/>
          <w:sz w:val="28"/>
          <w:szCs w:val="32"/>
          <w:lang w:eastAsia="en-GB"/>
        </w:rPr>
        <w:t xml:space="preserve"> (</w:t>
      </w:r>
      <w:r w:rsidR="00CB0EC9">
        <w:rPr>
          <w:rFonts w:ascii="Calibri" w:eastAsia="Times New Roman" w:hAnsi="Calibri" w:cs="Calibri"/>
          <w:b/>
          <w:bCs/>
          <w:color w:val="C00000"/>
          <w:sz w:val="28"/>
          <w:szCs w:val="32"/>
          <w:lang w:eastAsia="en-GB"/>
        </w:rPr>
        <w:t>March</w:t>
      </w:r>
      <w:r w:rsidR="000A31EB" w:rsidRPr="00CB0EC9">
        <w:rPr>
          <w:rFonts w:ascii="Calibri" w:eastAsia="Times New Roman" w:hAnsi="Calibri" w:cs="Calibri"/>
          <w:b/>
          <w:bCs/>
          <w:color w:val="C00000"/>
          <w:sz w:val="28"/>
          <w:szCs w:val="32"/>
          <w:lang w:eastAsia="en-GB"/>
        </w:rPr>
        <w:t xml:space="preserve"> 201</w:t>
      </w:r>
      <w:r>
        <w:rPr>
          <w:rFonts w:ascii="Calibri" w:eastAsia="Times New Roman" w:hAnsi="Calibri" w:cs="Calibri"/>
          <w:b/>
          <w:bCs/>
          <w:color w:val="C00000"/>
          <w:sz w:val="28"/>
          <w:szCs w:val="32"/>
          <w:lang w:eastAsia="en-GB"/>
        </w:rPr>
        <w:t>5</w:t>
      </w:r>
      <w:r w:rsidR="00CB0EC9" w:rsidRPr="00CB0EC9">
        <w:rPr>
          <w:rFonts w:ascii="Calibri" w:eastAsia="Times New Roman" w:hAnsi="Calibri" w:cs="Calibri"/>
          <w:b/>
          <w:bCs/>
          <w:color w:val="C00000"/>
          <w:sz w:val="28"/>
          <w:szCs w:val="32"/>
          <w:lang w:eastAsia="en-GB"/>
        </w:rPr>
        <w:t>)</w:t>
      </w:r>
    </w:p>
    <w:p w:rsidR="00CB0EC9" w:rsidRDefault="00CB0EC9" w:rsidP="00CB0EC9">
      <w:pPr>
        <w:spacing w:after="0"/>
        <w:rPr>
          <w:rFonts w:eastAsia="Times New Roman" w:cstheme="minorHAnsi"/>
          <w:b/>
          <w:bCs/>
          <w:color w:val="C00000"/>
          <w:sz w:val="28"/>
          <w:szCs w:val="32"/>
          <w:lang w:eastAsia="en-GB"/>
        </w:rPr>
      </w:pPr>
    </w:p>
    <w:p w:rsidR="00CB0EC9" w:rsidRDefault="00CB0EC9" w:rsidP="00CB0EC9">
      <w:pPr>
        <w:spacing w:after="0"/>
        <w:rPr>
          <w:rFonts w:eastAsia="Times New Roman" w:cstheme="minorHAnsi"/>
          <w:b/>
          <w:bCs/>
          <w:color w:val="C00000"/>
          <w:sz w:val="28"/>
          <w:szCs w:val="32"/>
          <w:lang w:eastAsia="en-GB"/>
        </w:rPr>
      </w:pPr>
    </w:p>
    <w:p w:rsidR="00CB0EC9" w:rsidRPr="005F7C8D" w:rsidRDefault="00CB0EC9" w:rsidP="00CB0EC9">
      <w:pPr>
        <w:spacing w:after="0"/>
        <w:rPr>
          <w:rFonts w:eastAsia="Times New Roman" w:cstheme="minorHAnsi"/>
          <w:b/>
          <w:bCs/>
          <w:color w:val="C00000"/>
          <w:sz w:val="28"/>
          <w:szCs w:val="32"/>
          <w:lang w:eastAsia="en-GB"/>
        </w:rPr>
      </w:pPr>
      <w:r w:rsidRPr="005F7C8D">
        <w:rPr>
          <w:rFonts w:eastAsia="Times New Roman" w:cstheme="minorHAnsi"/>
          <w:b/>
          <w:bCs/>
          <w:color w:val="C00000"/>
          <w:sz w:val="28"/>
          <w:szCs w:val="32"/>
          <w:lang w:eastAsia="en-GB"/>
        </w:rPr>
        <w:t>For more information contact:</w:t>
      </w:r>
    </w:p>
    <w:p w:rsidR="00CB0EC9" w:rsidRPr="005F7C8D" w:rsidRDefault="00CB0EC9" w:rsidP="00CB0EC9">
      <w:pPr>
        <w:spacing w:after="0" w:line="240" w:lineRule="auto"/>
        <w:rPr>
          <w:rFonts w:eastAsia="Times New Roman" w:cstheme="minorHAnsi"/>
          <w:bCs/>
          <w:color w:val="0D0D0D" w:themeColor="text1" w:themeTint="F2"/>
          <w:sz w:val="24"/>
          <w:szCs w:val="32"/>
          <w:lang w:eastAsia="en-GB"/>
        </w:rPr>
      </w:pPr>
      <w:r w:rsidRPr="005F7C8D">
        <w:rPr>
          <w:rFonts w:eastAsia="Times New Roman" w:cstheme="minorHAnsi"/>
          <w:bCs/>
          <w:color w:val="0D0D0D" w:themeColor="text1" w:themeTint="F2"/>
          <w:sz w:val="24"/>
          <w:szCs w:val="32"/>
          <w:lang w:eastAsia="en-GB"/>
        </w:rPr>
        <w:t>Sean McWhinnie</w:t>
      </w:r>
    </w:p>
    <w:p w:rsidR="00CB0EC9" w:rsidRPr="005F7C8D" w:rsidRDefault="00CB0EC9" w:rsidP="00CB0EC9">
      <w:pPr>
        <w:spacing w:after="0" w:line="240" w:lineRule="auto"/>
        <w:rPr>
          <w:rFonts w:eastAsia="Times New Roman" w:cstheme="minorHAnsi"/>
          <w:bCs/>
          <w:color w:val="0D0D0D" w:themeColor="text1" w:themeTint="F2"/>
          <w:sz w:val="24"/>
          <w:szCs w:val="32"/>
          <w:lang w:eastAsia="en-GB"/>
        </w:rPr>
      </w:pPr>
      <w:r w:rsidRPr="005F7C8D">
        <w:rPr>
          <w:rFonts w:eastAsia="Times New Roman" w:cstheme="minorHAnsi"/>
          <w:bCs/>
          <w:color w:val="0D0D0D" w:themeColor="text1" w:themeTint="F2"/>
          <w:sz w:val="24"/>
          <w:szCs w:val="32"/>
          <w:lang w:eastAsia="en-GB"/>
        </w:rPr>
        <w:t>Oxford Research and Policy</w:t>
      </w:r>
    </w:p>
    <w:p w:rsidR="00CB0EC9" w:rsidRPr="005F7C8D" w:rsidRDefault="00CB0EC9" w:rsidP="00CB0EC9">
      <w:pPr>
        <w:spacing w:after="0" w:line="240" w:lineRule="auto"/>
        <w:rPr>
          <w:rFonts w:eastAsia="Times New Roman" w:cstheme="minorHAnsi"/>
          <w:bCs/>
          <w:color w:val="0D0D0D" w:themeColor="text1" w:themeTint="F2"/>
          <w:sz w:val="24"/>
          <w:szCs w:val="32"/>
          <w:lang w:eastAsia="en-GB"/>
        </w:rPr>
      </w:pPr>
      <w:r w:rsidRPr="005F7C8D">
        <w:rPr>
          <w:rFonts w:eastAsia="Times New Roman" w:cstheme="minorHAnsi"/>
          <w:bCs/>
          <w:color w:val="0D0D0D" w:themeColor="text1" w:themeTint="F2"/>
          <w:sz w:val="24"/>
          <w:szCs w:val="32"/>
          <w:lang w:eastAsia="en-GB"/>
        </w:rPr>
        <w:t>t:</w:t>
      </w:r>
      <w:r w:rsidRPr="005F7C8D">
        <w:rPr>
          <w:rFonts w:eastAsia="Times New Roman" w:cstheme="minorHAnsi"/>
          <w:bCs/>
          <w:color w:val="0D0D0D" w:themeColor="text1" w:themeTint="F2"/>
          <w:sz w:val="24"/>
          <w:szCs w:val="32"/>
          <w:lang w:eastAsia="en-GB"/>
        </w:rPr>
        <w:tab/>
      </w:r>
      <w:r w:rsidR="009702E7">
        <w:rPr>
          <w:rFonts w:eastAsia="Times New Roman" w:cstheme="minorHAnsi"/>
          <w:bCs/>
          <w:color w:val="0D0D0D" w:themeColor="text1" w:themeTint="F2"/>
          <w:sz w:val="24"/>
          <w:szCs w:val="32"/>
          <w:lang w:eastAsia="en-GB"/>
        </w:rPr>
        <w:t>01380 871213</w:t>
      </w:r>
    </w:p>
    <w:p w:rsidR="00CB0EC9" w:rsidRDefault="00CB0EC9" w:rsidP="00CB0EC9">
      <w:pPr>
        <w:spacing w:after="0" w:line="240" w:lineRule="auto"/>
        <w:rPr>
          <w:rFonts w:ascii="Calibri" w:eastAsia="Times New Roman" w:hAnsi="Calibri" w:cs="Calibri"/>
          <w:b/>
          <w:bCs/>
          <w:color w:val="0D0D0D" w:themeColor="text1" w:themeTint="F2"/>
          <w:sz w:val="28"/>
          <w:szCs w:val="32"/>
          <w:lang w:eastAsia="en-GB"/>
        </w:rPr>
      </w:pPr>
      <w:r w:rsidRPr="005F7C8D">
        <w:rPr>
          <w:rFonts w:eastAsia="Times New Roman" w:cstheme="minorHAnsi"/>
          <w:bCs/>
          <w:color w:val="0D0D0D" w:themeColor="text1" w:themeTint="F2"/>
          <w:sz w:val="24"/>
          <w:szCs w:val="32"/>
          <w:lang w:eastAsia="en-GB"/>
        </w:rPr>
        <w:t>e:</w:t>
      </w:r>
      <w:r w:rsidRPr="005F7C8D">
        <w:rPr>
          <w:rFonts w:eastAsia="Times New Roman" w:cstheme="minorHAnsi"/>
          <w:bCs/>
          <w:color w:val="0D0D0D" w:themeColor="text1" w:themeTint="F2"/>
          <w:sz w:val="24"/>
          <w:szCs w:val="32"/>
          <w:lang w:eastAsia="en-GB"/>
        </w:rPr>
        <w:tab/>
        <w:t>info@oxfordresearchandpolicy.co.uk</w:t>
      </w:r>
    </w:p>
    <w:p w:rsidR="00943EC0" w:rsidRDefault="00943EC0">
      <w:pPr>
        <w:rPr>
          <w:rFonts w:ascii="Calibri" w:eastAsia="Times New Roman" w:hAnsi="Calibri" w:cs="Calibri"/>
          <w:b/>
          <w:bCs/>
          <w:color w:val="0D0D0D" w:themeColor="text1" w:themeTint="F2"/>
          <w:sz w:val="28"/>
          <w:szCs w:val="32"/>
          <w:lang w:eastAsia="en-GB"/>
        </w:rPr>
      </w:pPr>
      <w:r>
        <w:rPr>
          <w:rFonts w:ascii="Calibri" w:eastAsia="Times New Roman" w:hAnsi="Calibri" w:cs="Calibri"/>
          <w:b/>
          <w:bCs/>
          <w:color w:val="0D0D0D" w:themeColor="text1" w:themeTint="F2"/>
          <w:sz w:val="28"/>
          <w:szCs w:val="32"/>
          <w:lang w:eastAsia="en-GB"/>
        </w:rPr>
        <w:br w:type="page"/>
      </w:r>
    </w:p>
    <w:p w:rsidR="00943EC0" w:rsidRDefault="00943EC0" w:rsidP="000A31EB">
      <w:r>
        <w:lastRenderedPageBreak/>
        <w:t xml:space="preserve">The institutional good practice checklist has been developed by Caroline Fox and Sean McWhinnie and is designed to complement the Departmental Good Practice Checklist.  </w:t>
      </w:r>
      <w:r w:rsidR="00253C88">
        <w:t>The Checklist can act as a guide for institutions as to the sort of activities that might be in place to support women in STEMM work at institutional and departmental/school levels.</w:t>
      </w:r>
    </w:p>
    <w:p w:rsidR="00943EC0" w:rsidRPr="00943EC0" w:rsidRDefault="00943EC0" w:rsidP="00943EC0">
      <w:r>
        <w:t xml:space="preserve">We suggest that the </w:t>
      </w:r>
      <w:r w:rsidRPr="00943EC0">
        <w:t>Checklist can be used in a variety of ways:</w:t>
      </w:r>
    </w:p>
    <w:p w:rsidR="00943EC0" w:rsidRDefault="00943EC0" w:rsidP="00A81CE1">
      <w:pPr>
        <w:spacing w:after="0"/>
        <w:ind w:left="567" w:hanging="567"/>
      </w:pPr>
      <w:r w:rsidRPr="00943EC0">
        <w:t>(i)</w:t>
      </w:r>
      <w:r w:rsidRPr="00943EC0">
        <w:tab/>
        <w:t xml:space="preserve">It can be used by groups, </w:t>
      </w:r>
      <w:r>
        <w:t>such as the university</w:t>
      </w:r>
      <w:r w:rsidRPr="00943EC0">
        <w:t xml:space="preserve"> SWAN </w:t>
      </w:r>
      <w:r w:rsidR="00294D96" w:rsidRPr="00943EC0">
        <w:t>self-assessment</w:t>
      </w:r>
      <w:r w:rsidRPr="00943EC0">
        <w:t xml:space="preserve"> team (SAT), </w:t>
      </w:r>
      <w:r>
        <w:t xml:space="preserve">or </w:t>
      </w:r>
      <w:r w:rsidRPr="00943EC0">
        <w:t>a women and science/diversity commit</w:t>
      </w:r>
      <w:r>
        <w:t>tee</w:t>
      </w:r>
      <w:r w:rsidR="00253C88">
        <w:t>;</w:t>
      </w:r>
    </w:p>
    <w:p w:rsidR="00943EC0" w:rsidRPr="00943EC0" w:rsidRDefault="00943EC0" w:rsidP="00A81CE1">
      <w:pPr>
        <w:spacing w:after="0"/>
        <w:ind w:left="567" w:hanging="567"/>
      </w:pPr>
      <w:r>
        <w:t>(ii)</w:t>
      </w:r>
      <w:r>
        <w:tab/>
        <w:t xml:space="preserve">It can be completed by the university equality and diversity/human resources function </w:t>
      </w:r>
      <w:r w:rsidR="00253C88">
        <w:t xml:space="preserve">- </w:t>
      </w:r>
      <w:r>
        <w:t xml:space="preserve">but it is important that the validity of what is written down is checked with other staff such as </w:t>
      </w:r>
      <w:r w:rsidR="00253C88">
        <w:t xml:space="preserve">members of </w:t>
      </w:r>
      <w:r>
        <w:t xml:space="preserve">the university SAT; </w:t>
      </w:r>
    </w:p>
    <w:p w:rsidR="00943EC0" w:rsidRPr="00943EC0" w:rsidRDefault="00943EC0" w:rsidP="00A81CE1">
      <w:pPr>
        <w:spacing w:after="0"/>
        <w:ind w:left="567" w:hanging="567"/>
      </w:pPr>
      <w:r w:rsidRPr="00943EC0">
        <w:t>(ii</w:t>
      </w:r>
      <w:r>
        <w:t>i</w:t>
      </w:r>
      <w:r w:rsidRPr="00943EC0">
        <w:t>)</w:t>
      </w:r>
      <w:r w:rsidRPr="00943EC0">
        <w:tab/>
        <w:t>It can be parcelled out to individuals/appropriate staff groups, either as a blank canvas or with suggested levels ‘pencilled’ in;</w:t>
      </w:r>
    </w:p>
    <w:p w:rsidR="00943EC0" w:rsidRDefault="00943EC0" w:rsidP="00294D96">
      <w:pPr>
        <w:spacing w:after="120"/>
        <w:ind w:left="567" w:hanging="567"/>
      </w:pPr>
      <w:r>
        <w:t>(iv</w:t>
      </w:r>
      <w:r w:rsidRPr="00943EC0">
        <w:t>)</w:t>
      </w:r>
      <w:r w:rsidRPr="00943EC0">
        <w:tab/>
        <w:t>The checklist can be divided up and used as the basis for workshops, or discussion groups, the outcomes of which are entered on the checklist.</w:t>
      </w:r>
    </w:p>
    <w:p w:rsidR="00943EC0" w:rsidRDefault="00943EC0" w:rsidP="00253C88">
      <w:r>
        <w:t>Feedback on the use of the Checklist suggest</w:t>
      </w:r>
      <w:bookmarkStart w:id="0" w:name="_GoBack"/>
      <w:bookmarkEnd w:id="0"/>
      <w:r>
        <w:t xml:space="preserve">s that a useful way of using it is to distribute a completed version to faculties/department/schools and ask their opinions of the university's responses.  Alternatively, the blank checklist can be distributed to faculties/department/schools </w:t>
      </w:r>
      <w:r w:rsidR="00253C88">
        <w:t>for completion and the responses collated and compared with the university's view.</w:t>
      </w:r>
    </w:p>
    <w:p w:rsidR="00253C88" w:rsidRDefault="00253C88" w:rsidP="00253C88">
      <w:pPr>
        <w:rPr>
          <w:b/>
        </w:rPr>
      </w:pPr>
      <w:r w:rsidRPr="00253C88">
        <w:rPr>
          <w:b/>
        </w:rPr>
        <w:t>As this checklist is still in development, please do not pass it on to other institutions without seeking permission from Oxford Research and Policy.</w:t>
      </w:r>
    </w:p>
    <w:p w:rsidR="00253C88" w:rsidRPr="00253C88" w:rsidRDefault="00253C88" w:rsidP="00253C88">
      <w:pPr>
        <w:spacing w:after="0" w:line="240" w:lineRule="auto"/>
        <w:rPr>
          <w:rFonts w:eastAsiaTheme="minorEastAsia"/>
          <w:noProof/>
          <w:lang w:eastAsia="en-GB"/>
        </w:rPr>
      </w:pPr>
      <w:bookmarkStart w:id="1" w:name="_MailAutoSig"/>
      <w:r w:rsidRPr="00253C88">
        <w:rPr>
          <w:rFonts w:eastAsiaTheme="minorEastAsia"/>
          <w:noProof/>
          <w:lang w:eastAsia="en-GB"/>
        </w:rPr>
        <w:drawing>
          <wp:inline distT="0" distB="0" distL="0" distR="0">
            <wp:extent cx="2584450" cy="332740"/>
            <wp:effectExtent l="19050" t="0" r="6350" b="0"/>
            <wp:docPr id="2" name="Picture 1" descr="cid:D6BC8F07-DD9B-414A-8B5A-747322580C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6BC8F07-DD9B-414A-8B5A-747322580C0C"/>
                    <pic:cNvPicPr>
                      <a:picLocks noChangeAspect="1" noChangeArrowheads="1"/>
                    </pic:cNvPicPr>
                  </pic:nvPicPr>
                  <pic:blipFill>
                    <a:blip r:embed="rId6" cstate="print"/>
                    <a:srcRect/>
                    <a:stretch>
                      <a:fillRect/>
                    </a:stretch>
                  </pic:blipFill>
                  <pic:spPr bwMode="auto">
                    <a:xfrm>
                      <a:off x="0" y="0"/>
                      <a:ext cx="2584450" cy="332740"/>
                    </a:xfrm>
                    <a:prstGeom prst="rect">
                      <a:avLst/>
                    </a:prstGeom>
                    <a:noFill/>
                    <a:ln w="9525">
                      <a:noFill/>
                      <a:miter lim="800000"/>
                      <a:headEnd/>
                      <a:tailEnd/>
                    </a:ln>
                  </pic:spPr>
                </pic:pic>
              </a:graphicData>
            </a:graphic>
          </wp:inline>
        </w:drawing>
      </w:r>
    </w:p>
    <w:p w:rsidR="00253C88" w:rsidRPr="00253C88" w:rsidRDefault="00253C88" w:rsidP="00253C88">
      <w:pPr>
        <w:spacing w:after="0" w:line="240" w:lineRule="auto"/>
        <w:rPr>
          <w:rFonts w:eastAsiaTheme="minorEastAsia"/>
          <w:noProof/>
          <w:lang w:eastAsia="en-GB"/>
        </w:rPr>
      </w:pPr>
      <w:r w:rsidRPr="00253C88">
        <w:rPr>
          <w:rFonts w:eastAsiaTheme="minorEastAsia"/>
          <w:noProof/>
          <w:lang w:eastAsia="en-GB"/>
        </w:rPr>
        <w:t>Dr  Sean McWhinnie</w:t>
      </w:r>
    </w:p>
    <w:p w:rsidR="00253C88" w:rsidRPr="00253C88" w:rsidRDefault="00253C88" w:rsidP="00253C88">
      <w:pPr>
        <w:spacing w:after="0" w:line="240" w:lineRule="auto"/>
        <w:rPr>
          <w:rFonts w:eastAsiaTheme="minorEastAsia"/>
          <w:noProof/>
          <w:lang w:eastAsia="en-GB"/>
        </w:rPr>
      </w:pPr>
      <w:r w:rsidRPr="00253C88">
        <w:rPr>
          <w:rFonts w:eastAsiaTheme="minorEastAsia"/>
          <w:noProof/>
          <w:lang w:eastAsia="en-GB"/>
        </w:rPr>
        <w:t>Oxford Research and Policy</w:t>
      </w:r>
    </w:p>
    <w:p w:rsidR="00253C88" w:rsidRDefault="009702E7" w:rsidP="00253C88">
      <w:pPr>
        <w:spacing w:after="0" w:line="240" w:lineRule="auto"/>
        <w:rPr>
          <w:rFonts w:eastAsiaTheme="minorEastAsia"/>
          <w:noProof/>
          <w:lang w:eastAsia="en-GB"/>
        </w:rPr>
      </w:pPr>
      <w:r>
        <w:rPr>
          <w:rFonts w:eastAsiaTheme="minorEastAsia"/>
          <w:noProof/>
          <w:lang w:eastAsia="en-GB"/>
        </w:rPr>
        <w:t>7 Ashton Common</w:t>
      </w:r>
    </w:p>
    <w:p w:rsidR="009702E7" w:rsidRDefault="009702E7" w:rsidP="00253C88">
      <w:pPr>
        <w:spacing w:after="0" w:line="240" w:lineRule="auto"/>
        <w:rPr>
          <w:rFonts w:eastAsiaTheme="minorEastAsia"/>
          <w:noProof/>
          <w:lang w:eastAsia="en-GB"/>
        </w:rPr>
      </w:pPr>
      <w:r>
        <w:rPr>
          <w:rFonts w:eastAsiaTheme="minorEastAsia"/>
          <w:noProof/>
          <w:lang w:eastAsia="en-GB"/>
        </w:rPr>
        <w:t>Steeple Ashton</w:t>
      </w:r>
    </w:p>
    <w:p w:rsidR="009702E7" w:rsidRDefault="009702E7" w:rsidP="00253C88">
      <w:pPr>
        <w:spacing w:after="0" w:line="240" w:lineRule="auto"/>
        <w:rPr>
          <w:rFonts w:eastAsiaTheme="minorEastAsia"/>
          <w:noProof/>
          <w:lang w:eastAsia="en-GB"/>
        </w:rPr>
      </w:pPr>
      <w:r>
        <w:rPr>
          <w:rFonts w:eastAsiaTheme="minorEastAsia"/>
          <w:noProof/>
          <w:lang w:eastAsia="en-GB"/>
        </w:rPr>
        <w:t>Trowbridge</w:t>
      </w:r>
    </w:p>
    <w:p w:rsidR="009702E7" w:rsidRDefault="009702E7" w:rsidP="00253C88">
      <w:pPr>
        <w:spacing w:after="0" w:line="240" w:lineRule="auto"/>
        <w:rPr>
          <w:rFonts w:eastAsiaTheme="minorEastAsia"/>
          <w:noProof/>
          <w:lang w:eastAsia="en-GB"/>
        </w:rPr>
      </w:pPr>
      <w:r>
        <w:rPr>
          <w:rFonts w:eastAsiaTheme="minorEastAsia"/>
          <w:noProof/>
          <w:lang w:eastAsia="en-GB"/>
        </w:rPr>
        <w:t>Wiltshire</w:t>
      </w:r>
    </w:p>
    <w:p w:rsidR="009702E7" w:rsidRPr="00253C88" w:rsidRDefault="009702E7" w:rsidP="00253C88">
      <w:pPr>
        <w:spacing w:after="0" w:line="240" w:lineRule="auto"/>
        <w:rPr>
          <w:rFonts w:eastAsiaTheme="minorEastAsia"/>
          <w:noProof/>
          <w:lang w:eastAsia="en-GB"/>
        </w:rPr>
      </w:pPr>
      <w:r>
        <w:rPr>
          <w:rFonts w:eastAsiaTheme="minorEastAsia"/>
          <w:noProof/>
          <w:lang w:eastAsia="en-GB"/>
        </w:rPr>
        <w:t>BA14 6DY</w:t>
      </w:r>
    </w:p>
    <w:p w:rsidR="00253C88" w:rsidRPr="00253C88" w:rsidRDefault="00253C88" w:rsidP="00253C88">
      <w:pPr>
        <w:spacing w:after="0" w:line="240" w:lineRule="auto"/>
        <w:rPr>
          <w:rFonts w:eastAsiaTheme="minorEastAsia"/>
          <w:noProof/>
          <w:lang w:eastAsia="en-GB"/>
        </w:rPr>
      </w:pPr>
    </w:p>
    <w:p w:rsidR="00253C88" w:rsidRPr="00253C88" w:rsidRDefault="00253C88" w:rsidP="00253C88">
      <w:pPr>
        <w:spacing w:after="0" w:line="240" w:lineRule="auto"/>
        <w:rPr>
          <w:rFonts w:eastAsiaTheme="minorEastAsia"/>
          <w:noProof/>
          <w:lang w:eastAsia="en-GB"/>
        </w:rPr>
      </w:pPr>
      <w:r w:rsidRPr="00253C88">
        <w:rPr>
          <w:rFonts w:eastAsiaTheme="minorEastAsia"/>
          <w:noProof/>
          <w:lang w:eastAsia="en-GB"/>
        </w:rPr>
        <w:t xml:space="preserve">Tel:  </w:t>
      </w:r>
      <w:r w:rsidR="009702E7">
        <w:rPr>
          <w:rFonts w:eastAsiaTheme="minorEastAsia"/>
          <w:noProof/>
          <w:lang w:eastAsia="en-GB"/>
        </w:rPr>
        <w:t>01380 871213</w:t>
      </w:r>
    </w:p>
    <w:p w:rsidR="00253C88" w:rsidRPr="00253C88" w:rsidRDefault="00253C88" w:rsidP="00253C88">
      <w:pPr>
        <w:spacing w:after="0" w:line="240" w:lineRule="auto"/>
        <w:rPr>
          <w:rFonts w:eastAsiaTheme="minorEastAsia"/>
          <w:noProof/>
          <w:lang w:eastAsia="en-GB"/>
        </w:rPr>
      </w:pPr>
      <w:r w:rsidRPr="00253C88">
        <w:rPr>
          <w:rFonts w:eastAsiaTheme="minorEastAsia"/>
          <w:noProof/>
          <w:lang w:eastAsia="en-GB"/>
        </w:rPr>
        <w:t>Mob: 07967 153296</w:t>
      </w:r>
    </w:p>
    <w:p w:rsidR="00253C88" w:rsidRPr="00943EC0" w:rsidRDefault="00253C88" w:rsidP="00CB0EC9">
      <w:pPr>
        <w:spacing w:after="0" w:line="240" w:lineRule="auto"/>
      </w:pPr>
      <w:r w:rsidRPr="00253C88">
        <w:rPr>
          <w:rFonts w:eastAsiaTheme="minorEastAsia"/>
          <w:noProof/>
          <w:lang w:eastAsia="en-GB"/>
        </w:rPr>
        <w:t>Email: sean.mcwhinnie@oxfordresearchandpolicy.co.uk</w:t>
      </w:r>
      <w:bookmarkEnd w:id="1"/>
    </w:p>
    <w:p w:rsidR="000A31EB" w:rsidRDefault="000A31EB" w:rsidP="000A31EB">
      <w:r>
        <w:br w:type="page"/>
      </w:r>
    </w:p>
    <w:tbl>
      <w:tblPr>
        <w:tblW w:w="15317" w:type="dxa"/>
        <w:tblInd w:w="100" w:type="dxa"/>
        <w:tblLayout w:type="fixed"/>
        <w:tblLook w:val="04A0" w:firstRow="1" w:lastRow="0" w:firstColumn="1" w:lastColumn="0" w:noHBand="0" w:noVBand="1"/>
      </w:tblPr>
      <w:tblGrid>
        <w:gridCol w:w="462"/>
        <w:gridCol w:w="5925"/>
        <w:gridCol w:w="5528"/>
        <w:gridCol w:w="850"/>
        <w:gridCol w:w="851"/>
        <w:gridCol w:w="850"/>
        <w:gridCol w:w="851"/>
      </w:tblGrid>
      <w:tr w:rsidR="001B4F92" w:rsidRPr="001B4F92" w:rsidTr="003177BA">
        <w:trPr>
          <w:trHeight w:val="60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F92" w:rsidRPr="001B4F92"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1</w:t>
            </w:r>
          </w:p>
        </w:tc>
        <w:tc>
          <w:tcPr>
            <w:tcW w:w="5925" w:type="dxa"/>
            <w:tcBorders>
              <w:top w:val="single" w:sz="4" w:space="0" w:color="auto"/>
              <w:left w:val="nil"/>
              <w:bottom w:val="single" w:sz="4" w:space="0" w:color="auto"/>
              <w:right w:val="single" w:sz="4" w:space="0" w:color="auto"/>
            </w:tcBorders>
            <w:shd w:val="clear" w:color="auto" w:fill="auto"/>
            <w:noWrap/>
            <w:vAlign w:val="center"/>
            <w:hideMark/>
          </w:tcPr>
          <w:p w:rsidR="001B4F92" w:rsidRPr="001B4F92" w:rsidRDefault="001B4F92" w:rsidP="000A31EB">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FUNDAMENTALS FOR SUCCESS</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1B4F92" w:rsidRPr="001B4F92" w:rsidRDefault="001B4F92" w:rsidP="000A31EB">
            <w:pPr>
              <w:spacing w:after="0" w:line="240" w:lineRule="auto"/>
              <w:rPr>
                <w:rFonts w:ascii="Calibri" w:eastAsia="Times New Roman" w:hAnsi="Calibri" w:cs="Calibri"/>
                <w:b/>
                <w:color w:val="000000"/>
                <w:lang w:eastAsia="en-GB"/>
              </w:rPr>
            </w:pPr>
            <w:r w:rsidRPr="001B4F92">
              <w:rPr>
                <w:rFonts w:ascii="Calibri" w:eastAsia="Times New Roman" w:hAnsi="Calibri" w:cs="Calibri"/>
                <w:b/>
                <w:color w:val="000000"/>
                <w:lang w:eastAsia="en-GB"/>
              </w:rPr>
              <w:t>Comments/notes/description of what is in place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F92" w:rsidRPr="003177BA" w:rsidRDefault="001B4F92"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B4F92" w:rsidRPr="003177BA" w:rsidRDefault="001B4F92"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F92" w:rsidRPr="003177BA" w:rsidRDefault="001B4F92"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B4F92" w:rsidRPr="003177BA" w:rsidRDefault="001B4F92"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1B4F92" w:rsidRPr="001B4F92" w:rsidTr="003177BA">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3177BA" w:rsidP="001B4F9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1A</w:t>
            </w:r>
          </w:p>
        </w:tc>
        <w:tc>
          <w:tcPr>
            <w:tcW w:w="5925" w:type="dxa"/>
            <w:tcBorders>
              <w:top w:val="nil"/>
              <w:left w:val="nil"/>
              <w:bottom w:val="single" w:sz="4" w:space="0" w:color="auto"/>
              <w:right w:val="single" w:sz="4" w:space="0" w:color="auto"/>
            </w:tcBorders>
            <w:shd w:val="clear" w:color="auto" w:fill="auto"/>
            <w:noWrap/>
            <w:vAlign w:val="center"/>
            <w:hideMark/>
          </w:tcPr>
          <w:p w:rsidR="001B4F92" w:rsidRPr="001B4F92" w:rsidRDefault="00294D96" w:rsidP="001B4F9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ORGANISATION </w:t>
            </w:r>
            <w:r w:rsidR="001B4F92" w:rsidRPr="001B4F92">
              <w:rPr>
                <w:rFonts w:ascii="Calibri" w:eastAsia="Times New Roman" w:hAnsi="Calibri" w:cs="Calibri"/>
                <w:b/>
                <w:bCs/>
                <w:color w:val="000000"/>
                <w:lang w:eastAsia="en-GB"/>
              </w:rPr>
              <w:t>FOR ACTION</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3177BA" w:rsidRPr="001B4F92" w:rsidTr="003177BA">
        <w:trPr>
          <w:trHeight w:val="584"/>
        </w:trPr>
        <w:tc>
          <w:tcPr>
            <w:tcW w:w="462" w:type="dxa"/>
            <w:tcBorders>
              <w:top w:val="nil"/>
              <w:left w:val="single" w:sz="4" w:space="0" w:color="auto"/>
              <w:bottom w:val="single" w:sz="4" w:space="0" w:color="auto"/>
              <w:right w:val="single" w:sz="4" w:space="0" w:color="auto"/>
            </w:tcBorders>
            <w:shd w:val="clear" w:color="auto" w:fill="auto"/>
            <w:noWrap/>
            <w:hideMark/>
          </w:tcPr>
          <w:p w:rsidR="003177BA" w:rsidRPr="001B4F92" w:rsidRDefault="003177BA" w:rsidP="001B4F92">
            <w:pPr>
              <w:spacing w:after="0" w:line="240" w:lineRule="auto"/>
              <w:rPr>
                <w:rFonts w:ascii="Calibri" w:eastAsia="Times New Roman" w:hAnsi="Calibri" w:cs="Calibri"/>
                <w:b/>
                <w:bCs/>
                <w:color w:val="000000"/>
                <w:lang w:eastAsia="en-GB"/>
              </w:rPr>
            </w:pPr>
          </w:p>
        </w:tc>
        <w:tc>
          <w:tcPr>
            <w:tcW w:w="14855" w:type="dxa"/>
            <w:gridSpan w:val="6"/>
            <w:tcBorders>
              <w:top w:val="nil"/>
              <w:left w:val="nil"/>
              <w:bottom w:val="single" w:sz="4" w:space="0" w:color="auto"/>
              <w:right w:val="single" w:sz="4" w:space="0" w:color="auto"/>
            </w:tcBorders>
            <w:shd w:val="clear" w:color="auto" w:fill="auto"/>
            <w:vAlign w:val="center"/>
            <w:hideMark/>
          </w:tcPr>
          <w:p w:rsidR="003177BA" w:rsidRPr="003177BA" w:rsidRDefault="003177BA" w:rsidP="003177BA">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established and robust the University’s organisational framework is to deliver equality of opportunity and reward across its STEMM faculties, schools and departments.</w:t>
            </w:r>
          </w:p>
        </w:tc>
      </w:tr>
      <w:tr w:rsidR="001B4F92" w:rsidRPr="001B4F92" w:rsidTr="003177BA">
        <w:trPr>
          <w:trHeight w:val="198"/>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p>
        </w:tc>
        <w:tc>
          <w:tcPr>
            <w:tcW w:w="5925" w:type="dxa"/>
            <w:tcBorders>
              <w:top w:val="nil"/>
              <w:left w:val="nil"/>
              <w:bottom w:val="single" w:sz="4" w:space="0" w:color="auto"/>
              <w:right w:val="single" w:sz="4" w:space="0" w:color="auto"/>
            </w:tcBorders>
            <w:shd w:val="clear" w:color="auto" w:fill="auto"/>
            <w:noWrap/>
            <w:vAlign w:val="bottom"/>
            <w:hideMark/>
          </w:tcPr>
          <w:p w:rsidR="001B4F92" w:rsidRPr="001B4F92" w:rsidRDefault="00294D96" w:rsidP="001B4F9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1: </w:t>
            </w:r>
            <w:r w:rsidR="001B4F92" w:rsidRPr="001B4F92">
              <w:rPr>
                <w:rFonts w:ascii="Calibri" w:eastAsia="Times New Roman" w:hAnsi="Calibri" w:cs="Calibri"/>
                <w:b/>
                <w:bCs/>
                <w:color w:val="000000"/>
                <w:lang w:eastAsia="en-GB"/>
              </w:rPr>
              <w:t>Leadership and Engagement</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1a</w:t>
            </w:r>
          </w:p>
        </w:tc>
        <w:tc>
          <w:tcPr>
            <w:tcW w:w="5925" w:type="dxa"/>
            <w:tcBorders>
              <w:top w:val="nil"/>
              <w:left w:val="nil"/>
              <w:bottom w:val="single" w:sz="4" w:space="0" w:color="auto"/>
              <w:right w:val="single" w:sz="4" w:space="0" w:color="auto"/>
            </w:tcBorders>
            <w:shd w:val="clear" w:color="auto" w:fill="auto"/>
            <w:vAlign w:val="center"/>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 xml:space="preserve">University senior management supports and encourages </w:t>
            </w:r>
            <w:r w:rsidRPr="001B4F92">
              <w:rPr>
                <w:rFonts w:ascii="Calibri" w:eastAsia="Times New Roman" w:hAnsi="Calibri" w:cs="Calibri"/>
                <w:color w:val="0D0D0D"/>
                <w:lang w:eastAsia="en-GB"/>
              </w:rPr>
              <w:t xml:space="preserve">women and science/good practice activities and programmes in </w:t>
            </w:r>
            <w:r w:rsidRPr="001B4F92">
              <w:rPr>
                <w:rFonts w:ascii="Calibri" w:eastAsia="Times New Roman" w:hAnsi="Calibri" w:cs="Calibri"/>
                <w:color w:val="000000"/>
                <w:lang w:eastAsia="en-GB"/>
              </w:rPr>
              <w:t>departments.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1b</w:t>
            </w:r>
          </w:p>
        </w:tc>
        <w:tc>
          <w:tcPr>
            <w:tcW w:w="5925" w:type="dxa"/>
            <w:tcBorders>
              <w:top w:val="nil"/>
              <w:left w:val="nil"/>
              <w:bottom w:val="single" w:sz="4" w:space="0" w:color="auto"/>
              <w:right w:val="single" w:sz="4" w:space="0" w:color="auto"/>
            </w:tcBorders>
            <w:shd w:val="clear" w:color="auto" w:fill="auto"/>
            <w:vAlign w:val="center"/>
            <w:hideMark/>
          </w:tcPr>
          <w:p w:rsidR="001B4F92" w:rsidRPr="001B4F92" w:rsidRDefault="00D22DE8" w:rsidP="001B4F9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Academics in senior </w:t>
            </w:r>
            <w:r w:rsidR="00294D96">
              <w:rPr>
                <w:rFonts w:ascii="Calibri" w:eastAsia="Times New Roman" w:hAnsi="Calibri" w:cs="Calibri"/>
                <w:color w:val="000000"/>
                <w:lang w:eastAsia="en-GB"/>
              </w:rPr>
              <w:t xml:space="preserve">university/faculty positions </w:t>
            </w:r>
            <w:r w:rsidR="001B4F92" w:rsidRPr="001B4F92">
              <w:rPr>
                <w:rFonts w:ascii="Calibri" w:eastAsia="Times New Roman" w:hAnsi="Calibri" w:cs="Calibri"/>
                <w:color w:val="000000"/>
                <w:lang w:eastAsia="en-GB"/>
              </w:rPr>
              <w:t>engage with and participate in activities at department level.</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585"/>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1c</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expects departments to be aware of the level of their staff's participation in, and benefit from university and department initiatives and activities.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235"/>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p>
        </w:tc>
        <w:tc>
          <w:tcPr>
            <w:tcW w:w="5925" w:type="dxa"/>
            <w:tcBorders>
              <w:top w:val="nil"/>
              <w:left w:val="nil"/>
              <w:bottom w:val="single" w:sz="4" w:space="0" w:color="auto"/>
              <w:right w:val="single" w:sz="4" w:space="0" w:color="auto"/>
            </w:tcBorders>
            <w:shd w:val="clear" w:color="auto" w:fill="auto"/>
            <w:hideMark/>
          </w:tcPr>
          <w:p w:rsidR="001B4F92" w:rsidRPr="001B4F92" w:rsidRDefault="00294D96" w:rsidP="001B4F9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2: Accountability for </w:t>
            </w:r>
            <w:r w:rsidR="001B4F92" w:rsidRPr="001B4F92">
              <w:rPr>
                <w:rFonts w:ascii="Calibri" w:eastAsia="Times New Roman" w:hAnsi="Calibri" w:cs="Calibri"/>
                <w:b/>
                <w:bCs/>
                <w:color w:val="000000"/>
                <w:lang w:eastAsia="en-GB"/>
              </w:rPr>
              <w:t>action</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2a</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 xml:space="preserve">The university has a </w:t>
            </w:r>
            <w:r w:rsidRPr="001B4F92">
              <w:rPr>
                <w:rFonts w:ascii="Calibri" w:eastAsia="Times New Roman" w:hAnsi="Calibri" w:cs="Calibri"/>
                <w:color w:val="0D0D0D"/>
                <w:lang w:eastAsia="en-GB"/>
              </w:rPr>
              <w:t>women and science/good practice</w:t>
            </w:r>
            <w:r w:rsidRPr="001B4F92">
              <w:rPr>
                <w:rFonts w:ascii="Calibri" w:eastAsia="Times New Roman" w:hAnsi="Calibri" w:cs="Calibri"/>
                <w:color w:val="000000"/>
                <w:lang w:eastAsia="en-GB"/>
              </w:rPr>
              <w:t xml:space="preserve"> committee which is responsible to the university senior management team.</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2b</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D22DE8" w:rsidP="001B4F9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is a </w:t>
            </w:r>
            <w:r w:rsidR="001B4F92" w:rsidRPr="001B4F92">
              <w:rPr>
                <w:rFonts w:ascii="Calibri" w:eastAsia="Times New Roman" w:hAnsi="Calibri" w:cs="Calibri"/>
                <w:color w:val="000000"/>
                <w:lang w:eastAsia="en-GB"/>
              </w:rPr>
              <w:t xml:space="preserve">university network of department representatives/champions who share and disseminate good practice.  </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9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2c</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 xml:space="preserve">The university expects departments to identify </w:t>
            </w:r>
            <w:r w:rsidRPr="001B4F92">
              <w:rPr>
                <w:rFonts w:ascii="Calibri" w:eastAsia="Times New Roman" w:hAnsi="Calibri" w:cs="Calibri"/>
                <w:color w:val="0D0D0D"/>
                <w:lang w:eastAsia="en-GB"/>
              </w:rPr>
              <w:t>individual post holders who are accountable for specific tasks and projects related to women and science/good practice activities.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53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p>
        </w:tc>
        <w:tc>
          <w:tcPr>
            <w:tcW w:w="5925" w:type="dxa"/>
            <w:tcBorders>
              <w:top w:val="nil"/>
              <w:left w:val="nil"/>
              <w:bottom w:val="single" w:sz="4" w:space="0" w:color="auto"/>
              <w:right w:val="single" w:sz="4" w:space="0" w:color="auto"/>
            </w:tcBorders>
            <w:shd w:val="clear" w:color="auto" w:fill="auto"/>
            <w:hideMark/>
          </w:tcPr>
          <w:p w:rsidR="001B4F92" w:rsidRPr="001B4F92" w:rsidRDefault="00294D96" w:rsidP="001B4F9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Benchmark 3:</w:t>
            </w:r>
            <w:r w:rsidR="001B4F92" w:rsidRPr="001B4F92">
              <w:rPr>
                <w:rFonts w:ascii="Calibri" w:eastAsia="Times New Roman" w:hAnsi="Calibri" w:cs="Calibri"/>
                <w:b/>
                <w:bCs/>
                <w:color w:val="000000"/>
                <w:lang w:eastAsia="en-GB"/>
              </w:rPr>
              <w:t xml:space="preserve"> Resources for good practice activities and programmes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3a</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allocates/</w:t>
            </w:r>
            <w:r w:rsidR="00D22DE8">
              <w:rPr>
                <w:rFonts w:ascii="Calibri" w:eastAsia="Times New Roman" w:hAnsi="Calibri" w:cs="Calibri"/>
                <w:color w:val="000000"/>
                <w:lang w:eastAsia="en-GB"/>
              </w:rPr>
              <w:t xml:space="preserve">earmarks funding at university </w:t>
            </w:r>
            <w:r w:rsidRPr="001B4F92">
              <w:rPr>
                <w:rFonts w:ascii="Calibri" w:eastAsia="Times New Roman" w:hAnsi="Calibri" w:cs="Calibri"/>
                <w:color w:val="000000"/>
                <w:lang w:eastAsia="en-GB"/>
              </w:rPr>
              <w:t xml:space="preserve">and department levels for </w:t>
            </w:r>
            <w:r w:rsidRPr="001B4F92">
              <w:rPr>
                <w:rFonts w:ascii="Calibri" w:eastAsia="Times New Roman" w:hAnsi="Calibri" w:cs="Calibri"/>
                <w:color w:val="0D0D0D"/>
                <w:lang w:eastAsia="en-GB"/>
              </w:rPr>
              <w:t>women and science/good practice, programmes.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3b</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provides expertise and administrative support for departments.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single" w:sz="4" w:space="0" w:color="auto"/>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lastRenderedPageBreak/>
              <w:t>3c</w:t>
            </w:r>
          </w:p>
        </w:tc>
        <w:tc>
          <w:tcPr>
            <w:tcW w:w="5925" w:type="dxa"/>
            <w:tcBorders>
              <w:top w:val="single" w:sz="4" w:space="0" w:color="auto"/>
              <w:left w:val="nil"/>
              <w:bottom w:val="single" w:sz="4" w:space="0" w:color="auto"/>
              <w:right w:val="single" w:sz="4" w:space="0" w:color="auto"/>
            </w:tcBorders>
            <w:shd w:val="clear" w:color="auto" w:fill="auto"/>
            <w:hideMark/>
          </w:tcPr>
          <w:p w:rsidR="001B4F92" w:rsidRPr="001B4F92" w:rsidRDefault="001B4F92" w:rsidP="000A31EB">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expects departments to make t</w:t>
            </w:r>
            <w:r w:rsidRPr="001B4F92">
              <w:rPr>
                <w:rFonts w:ascii="Calibri" w:eastAsia="Times New Roman" w:hAnsi="Calibri" w:cs="Calibri"/>
                <w:color w:val="0D0D0D"/>
                <w:lang w:eastAsia="en-GB"/>
              </w:rPr>
              <w:t>ime available to staff who manage/lead activities and initiatives.</w:t>
            </w:r>
          </w:p>
        </w:tc>
        <w:tc>
          <w:tcPr>
            <w:tcW w:w="5528" w:type="dxa"/>
            <w:tcBorders>
              <w:top w:val="single" w:sz="4" w:space="0" w:color="auto"/>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3177BA" w:rsidRPr="001B4F92" w:rsidTr="003177BA">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BA" w:rsidRPr="001B4F92"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1B</w:t>
            </w:r>
          </w:p>
        </w:tc>
        <w:tc>
          <w:tcPr>
            <w:tcW w:w="5925" w:type="dxa"/>
            <w:tcBorders>
              <w:top w:val="single" w:sz="4" w:space="0" w:color="auto"/>
              <w:left w:val="nil"/>
              <w:bottom w:val="single" w:sz="4" w:space="0" w:color="auto"/>
              <w:right w:val="single" w:sz="4" w:space="0" w:color="auto"/>
            </w:tcBorders>
            <w:shd w:val="clear" w:color="auto" w:fill="auto"/>
            <w:noWrap/>
            <w:vAlign w:val="center"/>
            <w:hideMark/>
          </w:tcPr>
          <w:p w:rsidR="003177BA" w:rsidRPr="001B4F92" w:rsidRDefault="003177BA" w:rsidP="003177BA">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EVIDENCE BASE FOR ACTION</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3177BA" w:rsidRPr="000A31EB" w:rsidRDefault="003177BA" w:rsidP="003177BA">
            <w:pPr>
              <w:spacing w:after="0" w:line="240" w:lineRule="auto"/>
              <w:rPr>
                <w:rFonts w:ascii="Calibri" w:eastAsia="Times New Roman" w:hAnsi="Calibri" w:cs="Calibri"/>
                <w:b/>
                <w:color w:val="000000"/>
                <w:lang w:eastAsia="en-GB"/>
              </w:rPr>
            </w:pPr>
            <w:r w:rsidRPr="000A31EB">
              <w:rPr>
                <w:rFonts w:ascii="Calibri" w:eastAsia="Times New Roman" w:hAnsi="Calibri" w:cs="Calibri"/>
                <w:b/>
                <w:color w:val="000000"/>
                <w:lang w:eastAsia="en-GB"/>
              </w:rPr>
              <w:t>Comments/notes/description of what is in place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3177BA" w:rsidRPr="001B4F92" w:rsidTr="003177BA">
        <w:trPr>
          <w:trHeight w:val="556"/>
        </w:trPr>
        <w:tc>
          <w:tcPr>
            <w:tcW w:w="462" w:type="dxa"/>
            <w:tcBorders>
              <w:top w:val="nil"/>
              <w:left w:val="single" w:sz="4" w:space="0" w:color="auto"/>
              <w:bottom w:val="single" w:sz="4" w:space="0" w:color="auto"/>
              <w:right w:val="single" w:sz="4" w:space="0" w:color="auto"/>
            </w:tcBorders>
            <w:shd w:val="clear" w:color="auto" w:fill="auto"/>
            <w:noWrap/>
            <w:hideMark/>
          </w:tcPr>
          <w:p w:rsidR="003177BA" w:rsidRPr="001B4F92" w:rsidRDefault="003177BA" w:rsidP="001B4F92">
            <w:pPr>
              <w:spacing w:after="0" w:line="240" w:lineRule="auto"/>
              <w:rPr>
                <w:rFonts w:ascii="Calibri" w:eastAsia="Times New Roman" w:hAnsi="Calibri" w:cs="Calibri"/>
                <w:b/>
                <w:bCs/>
                <w:color w:val="000000"/>
                <w:lang w:eastAsia="en-GB"/>
              </w:rPr>
            </w:pPr>
          </w:p>
        </w:tc>
        <w:tc>
          <w:tcPr>
            <w:tcW w:w="14855" w:type="dxa"/>
            <w:gridSpan w:val="6"/>
            <w:tcBorders>
              <w:top w:val="nil"/>
              <w:left w:val="nil"/>
              <w:bottom w:val="single" w:sz="4" w:space="0" w:color="auto"/>
              <w:right w:val="single" w:sz="4" w:space="0" w:color="auto"/>
            </w:tcBorders>
            <w:shd w:val="clear" w:color="auto" w:fill="auto"/>
            <w:vAlign w:val="center"/>
            <w:hideMark/>
          </w:tcPr>
          <w:p w:rsidR="003177BA" w:rsidRPr="003177BA" w:rsidRDefault="003177BA" w:rsidP="003177BA">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collects quantitative and qualitative data and makes it available to departments, and how the university uses data as the basis for its planning, for action, and measuring progress.</w:t>
            </w:r>
          </w:p>
        </w:tc>
      </w:tr>
      <w:tr w:rsidR="001B4F92" w:rsidRPr="001B4F92" w:rsidTr="003177BA">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p>
        </w:tc>
        <w:tc>
          <w:tcPr>
            <w:tcW w:w="5925"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Benchmark 4</w:t>
            </w:r>
            <w:r w:rsidR="00294D96">
              <w:rPr>
                <w:rFonts w:ascii="Calibri" w:eastAsia="Times New Roman" w:hAnsi="Calibri" w:cs="Calibri"/>
                <w:b/>
                <w:bCs/>
                <w:color w:val="000000"/>
                <w:lang w:eastAsia="en-GB"/>
              </w:rPr>
              <w:t>:</w:t>
            </w:r>
            <w:r w:rsidRPr="001B4F92">
              <w:rPr>
                <w:rFonts w:ascii="Calibri" w:eastAsia="Times New Roman" w:hAnsi="Calibri" w:cs="Calibri"/>
                <w:b/>
                <w:bCs/>
                <w:color w:val="000000"/>
                <w:lang w:eastAsia="en-GB"/>
              </w:rPr>
              <w:t xml:space="preserve"> Student data</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9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4a</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provides gender disaggregated UG and PG data (by course of study, student progression, offers, acceptances, drop outs and outcomes) which is easily accessible to departments.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4b</w:t>
            </w:r>
          </w:p>
        </w:tc>
        <w:tc>
          <w:tcPr>
            <w:tcW w:w="5925" w:type="dxa"/>
            <w:tcBorders>
              <w:top w:val="nil"/>
              <w:left w:val="nil"/>
              <w:bottom w:val="single" w:sz="4" w:space="0" w:color="auto"/>
              <w:right w:val="single" w:sz="4" w:space="0" w:color="auto"/>
            </w:tcBorders>
            <w:shd w:val="clear" w:color="auto" w:fill="auto"/>
            <w:vAlign w:val="bottom"/>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expects departments to compare their data with national and faculty data and with like departments elsewhere.</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p>
        </w:tc>
        <w:tc>
          <w:tcPr>
            <w:tcW w:w="5925"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Benchmark 5</w:t>
            </w:r>
            <w:r w:rsidR="00294D96">
              <w:rPr>
                <w:rFonts w:ascii="Calibri" w:eastAsia="Times New Roman" w:hAnsi="Calibri" w:cs="Calibri"/>
                <w:b/>
                <w:bCs/>
                <w:color w:val="000000"/>
                <w:lang w:eastAsia="en-GB"/>
              </w:rPr>
              <w:t>:</w:t>
            </w:r>
            <w:r w:rsidRPr="001B4F92">
              <w:rPr>
                <w:rFonts w:ascii="Calibri" w:eastAsia="Times New Roman" w:hAnsi="Calibri" w:cs="Calibri"/>
                <w:b/>
                <w:bCs/>
                <w:color w:val="000000"/>
                <w:lang w:eastAsia="en-GB"/>
              </w:rPr>
              <w:t xml:space="preserve"> Staff data</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9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5a</w:t>
            </w:r>
          </w:p>
        </w:tc>
        <w:tc>
          <w:tcPr>
            <w:tcW w:w="5925" w:type="dxa"/>
            <w:tcBorders>
              <w:top w:val="nil"/>
              <w:left w:val="nil"/>
              <w:bottom w:val="single" w:sz="4" w:space="0" w:color="auto"/>
              <w:right w:val="single" w:sz="4" w:space="0" w:color="auto"/>
            </w:tcBorders>
            <w:shd w:val="clear" w:color="auto" w:fill="auto"/>
            <w:vAlign w:val="center"/>
            <w:hideMark/>
          </w:tcPr>
          <w:p w:rsidR="001B4F92" w:rsidRPr="001B4F92" w:rsidRDefault="001B4F92" w:rsidP="00D22DE8">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 xml:space="preserve">The university collects, monitors and makes available to departments gender disaggregated staff data by grade and staff group (at department, faculty and university levels). </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5b</w:t>
            </w:r>
          </w:p>
        </w:tc>
        <w:tc>
          <w:tcPr>
            <w:tcW w:w="5925" w:type="dxa"/>
            <w:tcBorders>
              <w:top w:val="nil"/>
              <w:left w:val="nil"/>
              <w:bottom w:val="single" w:sz="4" w:space="0" w:color="auto"/>
              <w:right w:val="single" w:sz="4" w:space="0" w:color="auto"/>
            </w:tcBorders>
            <w:shd w:val="clear" w:color="auto" w:fill="auto"/>
            <w:vAlign w:val="bottom"/>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provides dat</w:t>
            </w:r>
            <w:r>
              <w:rPr>
                <w:rFonts w:ascii="Calibri" w:eastAsia="Times New Roman" w:hAnsi="Calibri" w:cs="Calibri"/>
                <w:color w:val="000000"/>
                <w:lang w:eastAsia="en-GB"/>
              </w:rPr>
              <w:t>a on F/M representation in man</w:t>
            </w:r>
            <w:r w:rsidRPr="001B4F92">
              <w:rPr>
                <w:rFonts w:ascii="Calibri" w:eastAsia="Times New Roman" w:hAnsi="Calibri" w:cs="Calibri"/>
                <w:color w:val="000000"/>
                <w:lang w:eastAsia="en-GB"/>
              </w:rPr>
              <w:t xml:space="preserve">agement and on committees at faculty and university levels. </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5c</w:t>
            </w:r>
          </w:p>
        </w:tc>
        <w:tc>
          <w:tcPr>
            <w:tcW w:w="5925" w:type="dxa"/>
            <w:tcBorders>
              <w:top w:val="nil"/>
              <w:left w:val="nil"/>
              <w:bottom w:val="single" w:sz="4" w:space="0" w:color="auto"/>
              <w:right w:val="single" w:sz="4" w:space="0" w:color="auto"/>
            </w:tcBorders>
            <w:shd w:val="clear" w:color="auto" w:fill="auto"/>
            <w:vAlign w:val="bottom"/>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expects depart</w:t>
            </w:r>
            <w:r w:rsidR="00D22DE8">
              <w:rPr>
                <w:rFonts w:ascii="Calibri" w:eastAsia="Times New Roman" w:hAnsi="Calibri" w:cs="Calibri"/>
                <w:color w:val="000000"/>
                <w:lang w:eastAsia="en-GB"/>
              </w:rPr>
              <w:t xml:space="preserve">ments to use the data provided </w:t>
            </w:r>
            <w:r w:rsidRPr="001B4F92">
              <w:rPr>
                <w:rFonts w:ascii="Calibri" w:eastAsia="Times New Roman" w:hAnsi="Calibri" w:cs="Calibri"/>
                <w:color w:val="000000"/>
                <w:lang w:eastAsia="en-GB"/>
              </w:rPr>
              <w:t>for planning action and measuring progress (includi</w:t>
            </w:r>
            <w:r>
              <w:rPr>
                <w:rFonts w:ascii="Calibri" w:eastAsia="Times New Roman" w:hAnsi="Calibri" w:cs="Calibri"/>
                <w:color w:val="000000"/>
                <w:lang w:eastAsia="en-GB"/>
              </w:rPr>
              <w:t>ng making internal and ext</w:t>
            </w:r>
            <w:r w:rsidRPr="001B4F92">
              <w:rPr>
                <w:rFonts w:ascii="Calibri" w:eastAsia="Times New Roman" w:hAnsi="Calibri" w:cs="Calibri"/>
                <w:color w:val="000000"/>
                <w:lang w:eastAsia="en-GB"/>
              </w:rPr>
              <w:t>ernal comparisons).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p>
        </w:tc>
        <w:tc>
          <w:tcPr>
            <w:tcW w:w="5925" w:type="dxa"/>
            <w:tcBorders>
              <w:top w:val="nil"/>
              <w:left w:val="nil"/>
              <w:bottom w:val="single" w:sz="4" w:space="0" w:color="auto"/>
              <w:right w:val="single" w:sz="4" w:space="0" w:color="auto"/>
            </w:tcBorders>
            <w:shd w:val="clear" w:color="auto" w:fill="auto"/>
            <w:noWrap/>
            <w:vAlign w:val="center"/>
            <w:hideMark/>
          </w:tcPr>
          <w:p w:rsidR="001B4F92" w:rsidRPr="001B4F92" w:rsidRDefault="00294D96" w:rsidP="001B4F9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6: Qualitative </w:t>
            </w:r>
            <w:r w:rsidR="001B4F92" w:rsidRPr="001B4F92">
              <w:rPr>
                <w:rFonts w:ascii="Calibri" w:eastAsia="Times New Roman" w:hAnsi="Calibri" w:cs="Calibri"/>
                <w:b/>
                <w:bCs/>
                <w:color w:val="000000"/>
                <w:lang w:eastAsia="en-GB"/>
              </w:rPr>
              <w:t xml:space="preserve">data </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6a</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makes available gender disaggregated data from internal and external staff and student surveys.</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r w:rsidR="001B4F92" w:rsidRPr="001B4F92" w:rsidTr="003177BA">
        <w:trPr>
          <w:trHeight w:val="900"/>
        </w:trPr>
        <w:tc>
          <w:tcPr>
            <w:tcW w:w="462" w:type="dxa"/>
            <w:tcBorders>
              <w:top w:val="nil"/>
              <w:left w:val="single" w:sz="4" w:space="0" w:color="auto"/>
              <w:bottom w:val="single" w:sz="4" w:space="0" w:color="auto"/>
              <w:right w:val="single" w:sz="4" w:space="0" w:color="auto"/>
            </w:tcBorders>
            <w:shd w:val="clear" w:color="auto" w:fill="auto"/>
            <w:noWrap/>
            <w:hideMark/>
          </w:tcPr>
          <w:p w:rsidR="001B4F92" w:rsidRPr="001B4F92" w:rsidRDefault="001B4F92" w:rsidP="001B4F92">
            <w:pPr>
              <w:spacing w:after="0" w:line="240" w:lineRule="auto"/>
              <w:rPr>
                <w:rFonts w:ascii="Calibri" w:eastAsia="Times New Roman" w:hAnsi="Calibri" w:cs="Calibri"/>
                <w:b/>
                <w:bCs/>
                <w:color w:val="000000"/>
                <w:lang w:eastAsia="en-GB"/>
              </w:rPr>
            </w:pPr>
            <w:r w:rsidRPr="001B4F92">
              <w:rPr>
                <w:rFonts w:ascii="Calibri" w:eastAsia="Times New Roman" w:hAnsi="Calibri" w:cs="Calibri"/>
                <w:b/>
                <w:bCs/>
                <w:color w:val="000000"/>
                <w:lang w:eastAsia="en-GB"/>
              </w:rPr>
              <w:t>6b</w:t>
            </w:r>
          </w:p>
        </w:tc>
        <w:tc>
          <w:tcPr>
            <w:tcW w:w="5925" w:type="dxa"/>
            <w:tcBorders>
              <w:top w:val="nil"/>
              <w:left w:val="nil"/>
              <w:bottom w:val="single" w:sz="4" w:space="0" w:color="auto"/>
              <w:right w:val="single" w:sz="4" w:space="0" w:color="auto"/>
            </w:tcBorders>
            <w:shd w:val="clear" w:color="auto" w:fill="auto"/>
            <w:hideMark/>
          </w:tcPr>
          <w:p w:rsidR="001B4F92" w:rsidRPr="001B4F92" w:rsidRDefault="001B4F92" w:rsidP="001B4F92">
            <w:pPr>
              <w:spacing w:after="0" w:line="240" w:lineRule="auto"/>
              <w:rPr>
                <w:rFonts w:ascii="Calibri" w:eastAsia="Times New Roman" w:hAnsi="Calibri" w:cs="Calibri"/>
                <w:color w:val="000000"/>
                <w:lang w:eastAsia="en-GB"/>
              </w:rPr>
            </w:pPr>
            <w:r w:rsidRPr="001B4F92">
              <w:rPr>
                <w:rFonts w:ascii="Calibri" w:eastAsia="Times New Roman" w:hAnsi="Calibri" w:cs="Calibri"/>
                <w:color w:val="000000"/>
                <w:lang w:eastAsia="en-GB"/>
              </w:rPr>
              <w:t>The university expects departments to use qualitative data/data from their own surveys to raise awareness, to identify areas where action is needed, and to assess the effectiveness and impact of changes they have made.</w:t>
            </w:r>
          </w:p>
        </w:tc>
        <w:tc>
          <w:tcPr>
            <w:tcW w:w="5528" w:type="dxa"/>
            <w:tcBorders>
              <w:top w:val="nil"/>
              <w:left w:val="nil"/>
              <w:bottom w:val="single" w:sz="4" w:space="0" w:color="auto"/>
              <w:right w:val="single" w:sz="4" w:space="0" w:color="auto"/>
            </w:tcBorders>
            <w:shd w:val="clear" w:color="auto" w:fill="auto"/>
            <w:noWrap/>
            <w:hideMark/>
          </w:tcPr>
          <w:p w:rsidR="001B4F92" w:rsidRPr="001B4F92" w:rsidRDefault="001B4F92" w:rsidP="00FA1BB1">
            <w:pPr>
              <w:spacing w:after="0" w:line="240" w:lineRule="auto"/>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1B4F92" w:rsidRPr="001B4F92" w:rsidRDefault="001B4F92" w:rsidP="00FA1BB1">
            <w:pPr>
              <w:spacing w:after="0" w:line="240" w:lineRule="auto"/>
              <w:jc w:val="center"/>
              <w:rPr>
                <w:rFonts w:ascii="Calibri" w:eastAsia="Times New Roman" w:hAnsi="Calibri" w:cs="Calibri"/>
                <w:color w:val="000000"/>
                <w:lang w:eastAsia="en-GB"/>
              </w:rPr>
            </w:pPr>
          </w:p>
        </w:tc>
      </w:tr>
    </w:tbl>
    <w:p w:rsidR="00FA1BB1" w:rsidRDefault="001B4F92">
      <w:r>
        <w:br w:type="page"/>
      </w:r>
    </w:p>
    <w:tbl>
      <w:tblPr>
        <w:tblW w:w="15259" w:type="dxa"/>
        <w:tblInd w:w="96" w:type="dxa"/>
        <w:tblLayout w:type="fixed"/>
        <w:tblLook w:val="04A0" w:firstRow="1" w:lastRow="0" w:firstColumn="1" w:lastColumn="0" w:noHBand="0" w:noVBand="1"/>
      </w:tblPr>
      <w:tblGrid>
        <w:gridCol w:w="559"/>
        <w:gridCol w:w="22"/>
        <w:gridCol w:w="5879"/>
        <w:gridCol w:w="5913"/>
        <w:gridCol w:w="749"/>
        <w:gridCol w:w="709"/>
        <w:gridCol w:w="708"/>
        <w:gridCol w:w="709"/>
        <w:gridCol w:w="11"/>
      </w:tblGrid>
      <w:tr w:rsidR="00FA1BB1" w:rsidRPr="00FA1BB1" w:rsidTr="003177BA">
        <w:trPr>
          <w:gridAfter w:val="1"/>
          <w:wAfter w:w="11" w:type="dxa"/>
          <w:trHeight w:val="583"/>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FA1BB1"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2</w:t>
            </w:r>
          </w:p>
        </w:tc>
        <w:tc>
          <w:tcPr>
            <w:tcW w:w="5879" w:type="dxa"/>
            <w:tcBorders>
              <w:top w:val="single" w:sz="4" w:space="0" w:color="auto"/>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KEY CAREER TRANSITIONS</w:t>
            </w:r>
          </w:p>
        </w:tc>
        <w:tc>
          <w:tcPr>
            <w:tcW w:w="5913" w:type="dxa"/>
            <w:tcBorders>
              <w:top w:val="single" w:sz="4" w:space="0" w:color="auto"/>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Comments/notes/description of what is in place</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ind w:left="-125" w:right="-112"/>
              <w:jc w:val="center"/>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Not in place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ind w:left="-125" w:right="-112"/>
              <w:jc w:val="center"/>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Partly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ind w:left="-125" w:right="-112"/>
              <w:jc w:val="center"/>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Almost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ind w:left="-125" w:right="-112"/>
              <w:jc w:val="center"/>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Fully in place</w:t>
            </w:r>
          </w:p>
        </w:tc>
      </w:tr>
      <w:tr w:rsidR="00FA1BB1" w:rsidRPr="00FA1BB1" w:rsidTr="003177BA">
        <w:trPr>
          <w:gridAfter w:val="1"/>
          <w:wAfter w:w="11"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3177BA" w:rsidP="00FA1B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2A</w:t>
            </w:r>
          </w:p>
        </w:tc>
        <w:tc>
          <w:tcPr>
            <w:tcW w:w="5879" w:type="dxa"/>
            <w:tcBorders>
              <w:top w:val="nil"/>
              <w:left w:val="nil"/>
              <w:bottom w:val="single" w:sz="4" w:space="0" w:color="auto"/>
              <w:right w:val="single" w:sz="4" w:space="0" w:color="auto"/>
            </w:tcBorders>
            <w:shd w:val="clear" w:color="auto" w:fill="auto"/>
            <w:noWrap/>
            <w:vAlign w:val="bottom"/>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APPOINTMENT AND PROMOTION PROCESSES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3177BA" w:rsidRPr="00FA1BB1" w:rsidTr="003177BA">
        <w:trPr>
          <w:trHeight w:val="382"/>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3177BA" w:rsidRPr="00FA1BB1" w:rsidRDefault="003177BA"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14678" w:type="dxa"/>
            <w:gridSpan w:val="7"/>
            <w:tcBorders>
              <w:top w:val="nil"/>
              <w:left w:val="nil"/>
              <w:bottom w:val="single" w:sz="4" w:space="0" w:color="auto"/>
              <w:right w:val="single" w:sz="4" w:space="0" w:color="auto"/>
            </w:tcBorders>
            <w:shd w:val="clear" w:color="auto" w:fill="auto"/>
            <w:vAlign w:val="center"/>
            <w:hideMark/>
          </w:tcPr>
          <w:p w:rsidR="003177BA" w:rsidRPr="003177BA" w:rsidRDefault="003177BA" w:rsidP="003177BA">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ensures that university, faculty and department systems, processes, practices, and the decisions taken, are open transparent and fair.</w:t>
            </w:r>
          </w:p>
        </w:tc>
      </w:tr>
      <w:tr w:rsidR="00FA1BB1" w:rsidRPr="00FA1BB1" w:rsidTr="003177BA">
        <w:trPr>
          <w:gridAfter w:val="1"/>
          <w:wAfter w:w="11" w:type="dxa"/>
          <w:trHeight w:val="198"/>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879" w:type="dxa"/>
            <w:tcBorders>
              <w:top w:val="nil"/>
              <w:left w:val="nil"/>
              <w:bottom w:val="single" w:sz="4" w:space="0" w:color="auto"/>
              <w:right w:val="single" w:sz="4" w:space="0" w:color="auto"/>
            </w:tcBorders>
            <w:shd w:val="clear" w:color="auto" w:fill="auto"/>
            <w:noWrap/>
            <w:vAlign w:val="bottom"/>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7</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Decision Making</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11"/>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7a</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requires that appointment and promotion panels (for academics and post doc) include at least one man and one woman.</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705"/>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7b</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requires panel chairs o</w:t>
            </w:r>
            <w:r>
              <w:rPr>
                <w:rFonts w:ascii="Calibri" w:eastAsia="Times New Roman" w:hAnsi="Calibri" w:cs="Calibri"/>
                <w:color w:val="000000"/>
                <w:lang w:eastAsia="en-GB"/>
              </w:rPr>
              <w:t>f appointment and promotion pane</w:t>
            </w:r>
            <w:r w:rsidRPr="00FA1BB1">
              <w:rPr>
                <w:rFonts w:ascii="Calibri" w:eastAsia="Times New Roman" w:hAnsi="Calibri" w:cs="Calibri"/>
                <w:color w:val="000000"/>
                <w:lang w:eastAsia="en-GB"/>
              </w:rPr>
              <w:t>ls to be trained provides training for other panel members.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018"/>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7c</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that the individuals who participate in appointment and promotions selection processes are representative of the F/M academic staff profile of the department.</w:t>
            </w:r>
          </w:p>
        </w:tc>
        <w:tc>
          <w:tcPr>
            <w:tcW w:w="5913"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24"/>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879" w:type="dxa"/>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b/>
                <w:bCs/>
                <w:color w:val="000000"/>
                <w:sz w:val="20"/>
                <w:szCs w:val="20"/>
                <w:lang w:eastAsia="en-GB"/>
              </w:rPr>
            </w:pPr>
            <w:r w:rsidRPr="00FA1BB1">
              <w:rPr>
                <w:rFonts w:ascii="Calibri" w:eastAsia="Times New Roman" w:hAnsi="Calibri" w:cs="Calibri"/>
                <w:b/>
                <w:bCs/>
                <w:color w:val="000000"/>
                <w:sz w:val="20"/>
                <w:szCs w:val="20"/>
                <w:lang w:eastAsia="en-GB"/>
              </w:rPr>
              <w:t>Benchmark 8</w:t>
            </w:r>
            <w:r w:rsidR="00294D96">
              <w:rPr>
                <w:rFonts w:ascii="Calibri" w:eastAsia="Times New Roman" w:hAnsi="Calibri" w:cs="Calibri"/>
                <w:b/>
                <w:bCs/>
                <w:color w:val="000000"/>
                <w:sz w:val="20"/>
                <w:szCs w:val="20"/>
                <w:lang w:eastAsia="en-GB"/>
              </w:rPr>
              <w:t>:</w:t>
            </w:r>
            <w:r w:rsidRPr="00FA1BB1">
              <w:rPr>
                <w:rFonts w:ascii="Calibri" w:eastAsia="Times New Roman" w:hAnsi="Calibri" w:cs="Calibri"/>
                <w:b/>
                <w:bCs/>
                <w:color w:val="000000"/>
                <w:sz w:val="20"/>
                <w:szCs w:val="20"/>
                <w:lang w:eastAsia="en-GB"/>
              </w:rPr>
              <w:t xml:space="preserve"> Information</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025"/>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8a</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requires the information on appointment and promotion processes and criteria which is provided (for candidates and panels), by faculties/departments is clear, fair, and appropriate</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88"/>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8b</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ensures that its own communications on promotion are timely and effective  </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879" w:type="dxa"/>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b/>
                <w:bCs/>
                <w:color w:val="000000"/>
                <w:sz w:val="20"/>
                <w:szCs w:val="20"/>
                <w:lang w:eastAsia="en-GB"/>
              </w:rPr>
            </w:pPr>
            <w:r w:rsidRPr="00FA1BB1">
              <w:rPr>
                <w:rFonts w:ascii="Calibri" w:eastAsia="Times New Roman" w:hAnsi="Calibri" w:cs="Calibri"/>
                <w:b/>
                <w:bCs/>
                <w:color w:val="000000"/>
                <w:sz w:val="20"/>
                <w:szCs w:val="20"/>
                <w:lang w:eastAsia="en-GB"/>
              </w:rPr>
              <w:t>Benchmark 9</w:t>
            </w:r>
            <w:r w:rsidR="00294D96">
              <w:rPr>
                <w:rFonts w:ascii="Calibri" w:eastAsia="Times New Roman" w:hAnsi="Calibri" w:cs="Calibri"/>
                <w:b/>
                <w:bCs/>
                <w:color w:val="000000"/>
                <w:sz w:val="20"/>
                <w:szCs w:val="20"/>
                <w:lang w:eastAsia="en-GB"/>
              </w:rPr>
              <w:t>:</w:t>
            </w:r>
            <w:r w:rsidRPr="00FA1BB1">
              <w:rPr>
                <w:rFonts w:ascii="Calibri" w:eastAsia="Times New Roman" w:hAnsi="Calibri" w:cs="Calibri"/>
                <w:b/>
                <w:bCs/>
                <w:color w:val="000000"/>
                <w:sz w:val="20"/>
                <w:szCs w:val="20"/>
                <w:lang w:eastAsia="en-GB"/>
              </w:rPr>
              <w:t xml:space="preserve"> Monitor Appointments &amp; Promotions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035"/>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9a</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monitors promotion nominations and outcomes to check that over time the proportions of men and women nominated are representative of staff eligible for promotion, and men and women are equally successful.</w:t>
            </w:r>
          </w:p>
        </w:tc>
        <w:tc>
          <w:tcPr>
            <w:tcW w:w="5913"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512"/>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9b</w:t>
            </w:r>
          </w:p>
        </w:tc>
        <w:tc>
          <w:tcPr>
            <w:tcW w:w="5879" w:type="dxa"/>
            <w:tcBorders>
              <w:top w:val="nil"/>
              <w:left w:val="nil"/>
              <w:bottom w:val="single" w:sz="4" w:space="0" w:color="auto"/>
              <w:right w:val="single" w:sz="4" w:space="0" w:color="auto"/>
            </w:tcBorders>
            <w:shd w:val="clear" w:color="auto" w:fill="auto"/>
            <w:hideMark/>
          </w:tcPr>
          <w:p w:rsidR="00943EC0"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monitor applications for appointments (against the proportion of women in the recruitment 'pool')</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cantSplit/>
          <w:trHeight w:val="725"/>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lastRenderedPageBreak/>
              <w:t>9c</w:t>
            </w:r>
          </w:p>
        </w:tc>
        <w:tc>
          <w:tcPr>
            <w:tcW w:w="5879" w:type="dxa"/>
            <w:tcBorders>
              <w:top w:val="single" w:sz="4" w:space="0" w:color="auto"/>
              <w:left w:val="single" w:sz="4" w:space="0" w:color="auto"/>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expects departments to monitor lists of candidates they put </w:t>
            </w:r>
            <w:r w:rsidR="00294D96" w:rsidRPr="00FA1BB1">
              <w:rPr>
                <w:rFonts w:ascii="Calibri" w:eastAsia="Times New Roman" w:hAnsi="Calibri" w:cs="Calibri"/>
                <w:color w:val="000000"/>
                <w:lang w:eastAsia="en-GB"/>
              </w:rPr>
              <w:t>forward for</w:t>
            </w:r>
            <w:r w:rsidRPr="00FA1BB1">
              <w:rPr>
                <w:rFonts w:ascii="Calibri" w:eastAsia="Times New Roman" w:hAnsi="Calibri" w:cs="Calibri"/>
                <w:color w:val="000000"/>
                <w:lang w:eastAsia="en-GB"/>
              </w:rPr>
              <w:t xml:space="preserve"> promotion to ensure that over time the list of candidates is representative of those eligible for promotion.</w:t>
            </w:r>
          </w:p>
        </w:tc>
        <w:tc>
          <w:tcPr>
            <w:tcW w:w="5913" w:type="dxa"/>
            <w:tcBorders>
              <w:top w:val="single" w:sz="4" w:space="0" w:color="auto"/>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3177BA" w:rsidRPr="00FA1BB1" w:rsidTr="003177BA">
        <w:trPr>
          <w:gridAfter w:val="1"/>
          <w:wAfter w:w="11" w:type="dxa"/>
          <w:trHeight w:val="525"/>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BA" w:rsidRPr="00FA1BB1"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2B</w:t>
            </w:r>
          </w:p>
        </w:tc>
        <w:tc>
          <w:tcPr>
            <w:tcW w:w="5879" w:type="dxa"/>
            <w:tcBorders>
              <w:top w:val="single" w:sz="4" w:space="0" w:color="auto"/>
              <w:left w:val="nil"/>
              <w:bottom w:val="single" w:sz="4" w:space="0" w:color="auto"/>
              <w:right w:val="single" w:sz="4" w:space="0" w:color="auto"/>
            </w:tcBorders>
            <w:shd w:val="clear" w:color="auto" w:fill="auto"/>
            <w:vAlign w:val="center"/>
            <w:hideMark/>
          </w:tcPr>
          <w:p w:rsidR="003177BA" w:rsidRPr="00FA1BB1" w:rsidRDefault="003177BA"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LEVELLING APPOINTMENT &amp; PROMOTION PLAYING FIELDS</w:t>
            </w:r>
          </w:p>
        </w:tc>
        <w:tc>
          <w:tcPr>
            <w:tcW w:w="5913" w:type="dxa"/>
            <w:tcBorders>
              <w:top w:val="single" w:sz="4" w:space="0" w:color="auto"/>
              <w:left w:val="nil"/>
              <w:bottom w:val="single" w:sz="4" w:space="0" w:color="auto"/>
              <w:right w:val="single" w:sz="4" w:space="0" w:color="auto"/>
            </w:tcBorders>
            <w:shd w:val="clear" w:color="auto" w:fill="auto"/>
            <w:noWrap/>
            <w:vAlign w:val="center"/>
            <w:hideMark/>
          </w:tcPr>
          <w:p w:rsidR="003177BA" w:rsidRPr="000A31EB" w:rsidRDefault="003177BA" w:rsidP="003177BA">
            <w:pPr>
              <w:spacing w:after="0" w:line="240" w:lineRule="auto"/>
              <w:rPr>
                <w:rFonts w:ascii="Calibri" w:eastAsia="Times New Roman" w:hAnsi="Calibri" w:cs="Calibri"/>
                <w:b/>
                <w:color w:val="000000"/>
                <w:lang w:eastAsia="en-GB"/>
              </w:rPr>
            </w:pPr>
            <w:r w:rsidRPr="000A31EB">
              <w:rPr>
                <w:rFonts w:ascii="Calibri" w:eastAsia="Times New Roman" w:hAnsi="Calibri" w:cs="Calibri"/>
                <w:b/>
                <w:color w:val="000000"/>
                <w:lang w:eastAsia="en-GB"/>
              </w:rPr>
              <w:t>Comments/notes/description of what is in place</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3177BA" w:rsidRPr="00FA1BB1" w:rsidTr="003177BA">
        <w:trPr>
          <w:trHeight w:val="378"/>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3177BA" w:rsidRPr="00FA1BB1" w:rsidRDefault="003177BA"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14678" w:type="dxa"/>
            <w:gridSpan w:val="7"/>
            <w:tcBorders>
              <w:top w:val="nil"/>
              <w:left w:val="nil"/>
              <w:bottom w:val="single" w:sz="4" w:space="0" w:color="auto"/>
              <w:right w:val="single" w:sz="4" w:space="0" w:color="auto"/>
            </w:tcBorders>
            <w:shd w:val="clear" w:color="auto" w:fill="auto"/>
            <w:vAlign w:val="center"/>
            <w:hideMark/>
          </w:tcPr>
          <w:p w:rsidR="003177BA" w:rsidRPr="003177BA" w:rsidRDefault="003177BA" w:rsidP="003177BA">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ensures that men and women are equally likely to apply for appointment and promotion and are equally likely to be successful.</w:t>
            </w:r>
          </w:p>
        </w:tc>
      </w:tr>
      <w:tr w:rsidR="00FA1BB1" w:rsidRPr="00FA1BB1" w:rsidTr="003177BA">
        <w:trPr>
          <w:gridAfter w:val="1"/>
          <w:wAfter w:w="11"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879" w:type="dxa"/>
            <w:tcBorders>
              <w:top w:val="nil"/>
              <w:left w:val="nil"/>
              <w:bottom w:val="single" w:sz="4" w:space="0" w:color="auto"/>
              <w:right w:val="single" w:sz="4" w:space="0" w:color="auto"/>
            </w:tcBorders>
            <w:shd w:val="clear" w:color="auto" w:fill="auto"/>
            <w:vAlign w:val="bottom"/>
            <w:hideMark/>
          </w:tcPr>
          <w:p w:rsidR="00FA1BB1" w:rsidRPr="00FA1BB1" w:rsidRDefault="00294D96" w:rsidP="00FA1B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w:t>
            </w:r>
            <w:r w:rsidR="00FA1BB1">
              <w:rPr>
                <w:rFonts w:ascii="Calibri" w:eastAsia="Times New Roman" w:hAnsi="Calibri" w:cs="Calibri"/>
                <w:b/>
                <w:bCs/>
                <w:color w:val="000000"/>
                <w:lang w:eastAsia="en-GB"/>
              </w:rPr>
              <w:t>10</w:t>
            </w:r>
            <w:r>
              <w:rPr>
                <w:rFonts w:ascii="Calibri" w:eastAsia="Times New Roman" w:hAnsi="Calibri" w:cs="Calibri"/>
                <w:b/>
                <w:bCs/>
                <w:color w:val="000000"/>
                <w:lang w:eastAsia="en-GB"/>
              </w:rPr>
              <w:t>:</w:t>
            </w:r>
            <w:r w:rsidR="00FA1BB1">
              <w:rPr>
                <w:rFonts w:ascii="Calibri" w:eastAsia="Times New Roman" w:hAnsi="Calibri" w:cs="Calibri"/>
                <w:b/>
                <w:bCs/>
                <w:color w:val="000000"/>
                <w:lang w:eastAsia="en-GB"/>
              </w:rPr>
              <w:t xml:space="preserve"> Identify </w:t>
            </w:r>
            <w:r w:rsidR="00FA1BB1" w:rsidRPr="00FA1BB1">
              <w:rPr>
                <w:rFonts w:ascii="Calibri" w:eastAsia="Times New Roman" w:hAnsi="Calibri" w:cs="Calibri"/>
                <w:b/>
                <w:bCs/>
                <w:color w:val="000000"/>
                <w:lang w:eastAsia="en-GB"/>
              </w:rPr>
              <w:t>&amp; encourage candidates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10a</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promotion process allows for personal applications but does not rely on </w:t>
            </w:r>
            <w:r w:rsidR="00294D96" w:rsidRPr="00FA1BB1">
              <w:rPr>
                <w:rFonts w:ascii="Calibri" w:eastAsia="Times New Roman" w:hAnsi="Calibri" w:cs="Calibri"/>
                <w:color w:val="000000"/>
                <w:lang w:eastAsia="en-GB"/>
              </w:rPr>
              <w:t>self-nomination</w:t>
            </w:r>
            <w:r w:rsidRPr="00FA1BB1">
              <w:rPr>
                <w:rFonts w:ascii="Calibri" w:eastAsia="Times New Roman" w:hAnsi="Calibri" w:cs="Calibri"/>
                <w:color w:val="000000"/>
                <w:lang w:eastAsia="en-GB"/>
              </w:rPr>
              <w:t xml:space="preserve"> only.  </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041"/>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10b</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D22DE8" w:rsidP="00FA1B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university </w:t>
            </w:r>
            <w:r w:rsidR="00FA1BB1" w:rsidRPr="00FA1BB1">
              <w:rPr>
                <w:rFonts w:ascii="Calibri" w:eastAsia="Times New Roman" w:hAnsi="Calibri" w:cs="Calibri"/>
                <w:color w:val="000000"/>
                <w:lang w:eastAsia="en-GB"/>
              </w:rPr>
              <w:t xml:space="preserve">expects departments to encourage their senior staff to identify potential candidates, in particular </w:t>
            </w:r>
            <w:r w:rsidR="00FA1BB1">
              <w:rPr>
                <w:rFonts w:ascii="Calibri" w:eastAsia="Times New Roman" w:hAnsi="Calibri" w:cs="Calibri"/>
                <w:color w:val="000000"/>
                <w:lang w:eastAsia="en-GB"/>
              </w:rPr>
              <w:t>from under-</w:t>
            </w:r>
            <w:r w:rsidR="00FA1BB1" w:rsidRPr="00FA1BB1">
              <w:rPr>
                <w:rFonts w:ascii="Calibri" w:eastAsia="Times New Roman" w:hAnsi="Calibri" w:cs="Calibri"/>
                <w:color w:val="000000"/>
                <w:lang w:eastAsia="en-GB"/>
              </w:rPr>
              <w:t>represented groups, and inform them of job opportunities as they arise.</w:t>
            </w:r>
          </w:p>
        </w:tc>
        <w:tc>
          <w:tcPr>
            <w:tcW w:w="5913"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777"/>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10c</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review all academics positively for their promotion potential, at the beginning of each promotion round.</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62"/>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879" w:type="dxa"/>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11</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Support promotion candidates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561"/>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11a</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offers regular training courses on promotion and preparing a case for promotion.</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11b</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monitors take up of these courses.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759"/>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11c</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offer help on presenting their case for promotion and personal support to individuals preparing for promotion.</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06"/>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879" w:type="dxa"/>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12</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Feedback and Follow up for Promo</w:t>
            </w:r>
            <w:r>
              <w:rPr>
                <w:rFonts w:ascii="Calibri" w:eastAsia="Times New Roman" w:hAnsi="Calibri" w:cs="Calibri"/>
                <w:b/>
                <w:bCs/>
                <w:color w:val="000000"/>
                <w:lang w:eastAsia="en-GB"/>
              </w:rPr>
              <w:t>t</w:t>
            </w:r>
            <w:r w:rsidRPr="00FA1BB1">
              <w:rPr>
                <w:rFonts w:ascii="Calibri" w:eastAsia="Times New Roman" w:hAnsi="Calibri" w:cs="Calibri"/>
                <w:b/>
                <w:bCs/>
                <w:color w:val="000000"/>
                <w:lang w:eastAsia="en-GB"/>
              </w:rPr>
              <w:t>ion Candidates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44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12a</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provides regular training on ‘giving positive feedback’. </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45"/>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12b</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D22DE8" w:rsidP="00FA1B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university monitors take up of the training</w:t>
            </w:r>
            <w:r w:rsidR="00FA1BB1" w:rsidRPr="00FA1BB1">
              <w:rPr>
                <w:rFonts w:ascii="Calibri" w:eastAsia="Times New Roman" w:hAnsi="Calibri" w:cs="Calibri"/>
                <w:color w:val="000000"/>
                <w:lang w:eastAsia="en-GB"/>
              </w:rPr>
              <w:t>.</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81" w:type="dxa"/>
            <w:gridSpan w:val="2"/>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12c</w:t>
            </w:r>
          </w:p>
        </w:tc>
        <w:tc>
          <w:tcPr>
            <w:tcW w:w="5879"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offer positive feedback to all candidates.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0A31EB" w:rsidTr="003177BA">
        <w:trPr>
          <w:gridAfter w:val="1"/>
          <w:wAfter w:w="11" w:type="dxa"/>
          <w:trHeight w:val="6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0A31EB"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3</w:t>
            </w:r>
          </w:p>
        </w:tc>
        <w:tc>
          <w:tcPr>
            <w:tcW w:w="59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BB1" w:rsidRPr="000A31EB" w:rsidRDefault="00FA1BB1" w:rsidP="000A31EB">
            <w:pPr>
              <w:spacing w:after="0" w:line="240" w:lineRule="auto"/>
              <w:rPr>
                <w:rFonts w:ascii="Calibri" w:eastAsia="Times New Roman" w:hAnsi="Calibri" w:cs="Calibri"/>
                <w:b/>
                <w:bCs/>
                <w:color w:val="000000"/>
                <w:lang w:eastAsia="en-GB"/>
              </w:rPr>
            </w:pPr>
            <w:r w:rsidRPr="000A31EB">
              <w:rPr>
                <w:rFonts w:ascii="Calibri" w:eastAsia="Times New Roman" w:hAnsi="Calibri" w:cs="Calibri"/>
                <w:b/>
                <w:bCs/>
                <w:color w:val="000000"/>
                <w:lang w:eastAsia="en-GB"/>
              </w:rPr>
              <w:t>CAREER DEVELOPMENT</w:t>
            </w:r>
          </w:p>
        </w:tc>
        <w:tc>
          <w:tcPr>
            <w:tcW w:w="5913" w:type="dxa"/>
            <w:tcBorders>
              <w:top w:val="single" w:sz="4" w:space="0" w:color="auto"/>
              <w:left w:val="nil"/>
              <w:bottom w:val="single" w:sz="4" w:space="0" w:color="auto"/>
              <w:right w:val="single" w:sz="4" w:space="0" w:color="auto"/>
            </w:tcBorders>
            <w:shd w:val="clear" w:color="auto" w:fill="auto"/>
            <w:noWrap/>
            <w:vAlign w:val="center"/>
            <w:hideMark/>
          </w:tcPr>
          <w:p w:rsidR="00FA1BB1" w:rsidRPr="000A31EB" w:rsidRDefault="00FA1BB1" w:rsidP="000A31EB">
            <w:pPr>
              <w:spacing w:after="0" w:line="240" w:lineRule="auto"/>
              <w:rPr>
                <w:rFonts w:ascii="Calibri" w:eastAsia="Times New Roman" w:hAnsi="Calibri" w:cs="Calibri"/>
                <w:b/>
                <w:bCs/>
                <w:color w:val="000000"/>
                <w:lang w:eastAsia="en-GB"/>
              </w:rPr>
            </w:pPr>
            <w:r w:rsidRPr="000A31EB">
              <w:rPr>
                <w:rFonts w:ascii="Calibri" w:eastAsia="Times New Roman" w:hAnsi="Calibri" w:cs="Calibri"/>
                <w:b/>
                <w:bCs/>
                <w:color w:val="000000"/>
                <w:lang w:eastAsia="en-GB"/>
              </w:rPr>
              <w:t>Comments/notes/description of what is in place</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FA1BB1" w:rsidRPr="00FA1BB1" w:rsidTr="003177BA">
        <w:trPr>
          <w:gridAfter w:val="1"/>
          <w:wAfter w:w="11" w:type="dxa"/>
          <w:trHeight w:val="3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3177BA" w:rsidP="00FA1B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3A</w:t>
            </w:r>
          </w:p>
        </w:tc>
        <w:tc>
          <w:tcPr>
            <w:tcW w:w="5901" w:type="dxa"/>
            <w:gridSpan w:val="2"/>
            <w:tcBorders>
              <w:top w:val="nil"/>
              <w:left w:val="nil"/>
              <w:bottom w:val="single" w:sz="4" w:space="0" w:color="auto"/>
              <w:right w:val="single" w:sz="4" w:space="0" w:color="auto"/>
            </w:tcBorders>
            <w:shd w:val="clear" w:color="auto" w:fill="auto"/>
            <w:noWrap/>
            <w:vAlign w:val="bottom"/>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CAREER DEVELOPMENT PROVISION</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3177BA" w:rsidRPr="00FA1BB1" w:rsidTr="003177BA">
        <w:trPr>
          <w:trHeight w:val="368"/>
        </w:trPr>
        <w:tc>
          <w:tcPr>
            <w:tcW w:w="559" w:type="dxa"/>
            <w:tcBorders>
              <w:top w:val="nil"/>
              <w:left w:val="single" w:sz="4" w:space="0" w:color="auto"/>
              <w:bottom w:val="single" w:sz="4" w:space="0" w:color="auto"/>
              <w:right w:val="single" w:sz="4" w:space="0" w:color="auto"/>
            </w:tcBorders>
            <w:shd w:val="clear" w:color="auto" w:fill="auto"/>
            <w:noWrap/>
            <w:hideMark/>
          </w:tcPr>
          <w:p w:rsidR="003177BA" w:rsidRPr="00FA1BB1" w:rsidRDefault="003177BA"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14700" w:type="dxa"/>
            <w:gridSpan w:val="8"/>
            <w:tcBorders>
              <w:top w:val="nil"/>
              <w:left w:val="nil"/>
              <w:bottom w:val="single" w:sz="4" w:space="0" w:color="auto"/>
              <w:right w:val="single" w:sz="4" w:space="0" w:color="auto"/>
            </w:tcBorders>
            <w:shd w:val="clear" w:color="auto" w:fill="auto"/>
            <w:vAlign w:val="center"/>
            <w:hideMark/>
          </w:tcPr>
          <w:p w:rsidR="003177BA" w:rsidRPr="003177BA" w:rsidRDefault="003177BA" w:rsidP="003177BA">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ensures the quality and effectiveness of the career development provided at university, faculty and department levels</w:t>
            </w:r>
          </w:p>
        </w:tc>
      </w:tr>
      <w:tr w:rsidR="00FA1BB1" w:rsidRPr="00FA1BB1" w:rsidTr="003177BA">
        <w:trPr>
          <w:gridAfter w:val="1"/>
          <w:wAfter w:w="11" w:type="dxa"/>
          <w:trHeight w:val="315"/>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01" w:type="dxa"/>
            <w:gridSpan w:val="2"/>
            <w:tcBorders>
              <w:top w:val="nil"/>
              <w:left w:val="nil"/>
              <w:bottom w:val="single" w:sz="4" w:space="0" w:color="auto"/>
              <w:right w:val="single" w:sz="4" w:space="0" w:color="auto"/>
            </w:tcBorders>
            <w:shd w:val="clear" w:color="auto" w:fill="auto"/>
            <w:vAlign w:val="bottom"/>
            <w:hideMark/>
          </w:tcPr>
          <w:p w:rsidR="00FA1BB1" w:rsidRPr="00FA1BB1" w:rsidRDefault="00294D96" w:rsidP="00FA1B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13: </w:t>
            </w:r>
            <w:r w:rsidR="00FA1BB1" w:rsidRPr="00FA1BB1">
              <w:rPr>
                <w:rFonts w:ascii="Calibri" w:eastAsia="Times New Roman" w:hAnsi="Calibri" w:cs="Calibri"/>
                <w:b/>
                <w:bCs/>
                <w:color w:val="000000"/>
                <w:lang w:eastAsia="en-GB"/>
              </w:rPr>
              <w:t xml:space="preserve">Staff Development and Training </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13a</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provides regular induction programmes for all new staff (including post docs) and monitors take up.</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13b</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provide a compreh</w:t>
            </w:r>
            <w:r w:rsidR="00D22DE8">
              <w:rPr>
                <w:rFonts w:ascii="Calibri" w:eastAsia="Times New Roman" w:hAnsi="Calibri" w:cs="Calibri"/>
                <w:color w:val="000000"/>
                <w:lang w:eastAsia="en-GB"/>
              </w:rPr>
              <w:t xml:space="preserve">ensive department induction. </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6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13c</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checks the usefulness of its central training and development provision for academics and post docs with faculties/schools.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9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13d</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w:t>
            </w:r>
            <w:r w:rsidR="00D22DE8">
              <w:rPr>
                <w:rFonts w:ascii="Calibri" w:eastAsia="Times New Roman" w:hAnsi="Calibri" w:cs="Calibri"/>
                <w:color w:val="000000"/>
                <w:lang w:eastAsia="en-GB"/>
              </w:rPr>
              <w:t xml:space="preserve">pects departments to encourage </w:t>
            </w:r>
            <w:r w:rsidRPr="00FA1BB1">
              <w:rPr>
                <w:rFonts w:ascii="Calibri" w:eastAsia="Times New Roman" w:hAnsi="Calibri" w:cs="Calibri"/>
                <w:color w:val="000000"/>
                <w:lang w:eastAsia="en-GB"/>
              </w:rPr>
              <w:t>staff to take up the training that is offered and to recommend courses known to be useful.</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89"/>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14</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Early Career Researchers (ECR) development</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14a</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provides transferable skills training.  It monitors its take up by ECRs and checks its usefulness with departments.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14b</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offers careers advice and guidance to ECRs and monitors its take up.</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885"/>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14c</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expects departments to have arrangements which ensure that ECRs can and do access impartial careers advice and guidance on their suitability for an academic career. </w:t>
            </w:r>
          </w:p>
        </w:tc>
        <w:tc>
          <w:tcPr>
            <w:tcW w:w="5913"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24"/>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01" w:type="dxa"/>
            <w:gridSpan w:val="2"/>
            <w:tcBorders>
              <w:top w:val="nil"/>
              <w:left w:val="nil"/>
              <w:bottom w:val="single" w:sz="4" w:space="0" w:color="auto"/>
              <w:right w:val="single" w:sz="4" w:space="0" w:color="auto"/>
            </w:tcBorders>
            <w:shd w:val="clear" w:color="auto" w:fill="auto"/>
            <w:noWrap/>
            <w:vAlign w:val="bottom"/>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15</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Appraisal</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526"/>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15a</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have arrangements in place for the regular appraisal of all staff, including post docs.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9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15b</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provides training for appraisers, and specific training for appraisers of postdocs.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15c</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schools to monitor appraisal completion rates and follow up on the training needs identified.</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3177BA" w:rsidRPr="00FA1BB1" w:rsidTr="003177BA">
        <w:trPr>
          <w:gridAfter w:val="1"/>
          <w:wAfter w:w="11" w:type="dxa"/>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rsidR="003177BA" w:rsidRPr="00FA1BB1"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3B</w:t>
            </w:r>
          </w:p>
        </w:tc>
        <w:tc>
          <w:tcPr>
            <w:tcW w:w="5901" w:type="dxa"/>
            <w:gridSpan w:val="2"/>
            <w:tcBorders>
              <w:top w:val="single" w:sz="4" w:space="0" w:color="auto"/>
              <w:left w:val="nil"/>
              <w:bottom w:val="single" w:sz="4" w:space="0" w:color="auto"/>
              <w:right w:val="single" w:sz="4" w:space="0" w:color="auto"/>
            </w:tcBorders>
            <w:shd w:val="clear" w:color="auto" w:fill="auto"/>
            <w:hideMark/>
          </w:tcPr>
          <w:p w:rsidR="003177BA" w:rsidRPr="00FA1BB1" w:rsidRDefault="003177BA"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CAREER DEVELOPMENT ACTIVITIES</w:t>
            </w:r>
          </w:p>
        </w:tc>
        <w:tc>
          <w:tcPr>
            <w:tcW w:w="5913" w:type="dxa"/>
            <w:tcBorders>
              <w:top w:val="single" w:sz="4" w:space="0" w:color="auto"/>
              <w:left w:val="nil"/>
              <w:bottom w:val="single" w:sz="4" w:space="0" w:color="auto"/>
              <w:right w:val="single" w:sz="4" w:space="0" w:color="auto"/>
            </w:tcBorders>
            <w:shd w:val="clear" w:color="auto" w:fill="auto"/>
            <w:noWrap/>
            <w:vAlign w:val="center"/>
            <w:hideMark/>
          </w:tcPr>
          <w:p w:rsidR="003177BA" w:rsidRPr="000A31EB" w:rsidRDefault="003177BA" w:rsidP="003177BA">
            <w:pPr>
              <w:spacing w:after="0" w:line="240" w:lineRule="auto"/>
              <w:rPr>
                <w:rFonts w:ascii="Calibri" w:eastAsia="Times New Roman" w:hAnsi="Calibri" w:cs="Calibri"/>
                <w:b/>
                <w:color w:val="000000"/>
                <w:lang w:eastAsia="en-GB"/>
              </w:rPr>
            </w:pPr>
            <w:r w:rsidRPr="000A31EB">
              <w:rPr>
                <w:rFonts w:ascii="Calibri" w:eastAsia="Times New Roman" w:hAnsi="Calibri" w:cs="Calibri"/>
                <w:b/>
                <w:color w:val="000000"/>
                <w:lang w:eastAsia="en-GB"/>
              </w:rPr>
              <w:t>Comments/notes/description of what is in place</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3177BA" w:rsidRPr="00FA1BB1" w:rsidTr="003177BA">
        <w:trPr>
          <w:trHeight w:val="441"/>
        </w:trPr>
        <w:tc>
          <w:tcPr>
            <w:tcW w:w="559" w:type="dxa"/>
            <w:tcBorders>
              <w:top w:val="nil"/>
              <w:left w:val="single" w:sz="4" w:space="0" w:color="auto"/>
              <w:bottom w:val="single" w:sz="4" w:space="0" w:color="auto"/>
              <w:right w:val="single" w:sz="4" w:space="0" w:color="auto"/>
            </w:tcBorders>
            <w:shd w:val="clear" w:color="auto" w:fill="auto"/>
            <w:noWrap/>
            <w:hideMark/>
          </w:tcPr>
          <w:p w:rsidR="003177BA" w:rsidRPr="00FA1BB1" w:rsidRDefault="003177BA"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14700" w:type="dxa"/>
            <w:gridSpan w:val="8"/>
            <w:tcBorders>
              <w:top w:val="nil"/>
              <w:left w:val="nil"/>
              <w:bottom w:val="single" w:sz="4" w:space="0" w:color="auto"/>
              <w:right w:val="single" w:sz="4" w:space="0" w:color="auto"/>
            </w:tcBorders>
            <w:shd w:val="clear" w:color="auto" w:fill="auto"/>
            <w:vAlign w:val="center"/>
            <w:hideMark/>
          </w:tcPr>
          <w:p w:rsidR="003177BA" w:rsidRPr="003177BA" w:rsidRDefault="003177BA" w:rsidP="003177BA">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ensures that staff engage in activities, internal and external which contribute to their career progression/professional profile</w:t>
            </w:r>
          </w:p>
        </w:tc>
      </w:tr>
      <w:tr w:rsidR="00FA1BB1" w:rsidRPr="00FA1BB1" w:rsidTr="003177BA">
        <w:trPr>
          <w:gridAfter w:val="1"/>
          <w:wAfter w:w="11" w:type="dxa"/>
          <w:trHeight w:val="3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01" w:type="dxa"/>
            <w:gridSpan w:val="2"/>
            <w:tcBorders>
              <w:top w:val="nil"/>
              <w:left w:val="nil"/>
              <w:bottom w:val="single" w:sz="4" w:space="0" w:color="auto"/>
              <w:right w:val="single" w:sz="4" w:space="0" w:color="auto"/>
            </w:tcBorders>
            <w:shd w:val="clear" w:color="auto" w:fill="auto"/>
            <w:noWrap/>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16</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Mentoring</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45"/>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16a</w:t>
            </w:r>
          </w:p>
        </w:tc>
        <w:tc>
          <w:tcPr>
            <w:tcW w:w="5901" w:type="dxa"/>
            <w:gridSpan w:val="2"/>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provides training and support for mentors and mentees.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16b</w:t>
            </w:r>
          </w:p>
        </w:tc>
        <w:tc>
          <w:tcPr>
            <w:tcW w:w="5901" w:type="dxa"/>
            <w:gridSpan w:val="2"/>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offers/supports mentoring schemes for academics, post docs and post graduates.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6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16c</w:t>
            </w:r>
          </w:p>
        </w:tc>
        <w:tc>
          <w:tcPr>
            <w:tcW w:w="5901" w:type="dxa"/>
            <w:gridSpan w:val="2"/>
            <w:tcBorders>
              <w:top w:val="nil"/>
              <w:left w:val="nil"/>
              <w:bottom w:val="single" w:sz="4" w:space="0" w:color="auto"/>
              <w:right w:val="single" w:sz="4" w:space="0" w:color="auto"/>
            </w:tcBorders>
            <w:shd w:val="clear" w:color="auto" w:fill="auto"/>
            <w:vAlign w:val="bottom"/>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w:t>
            </w:r>
            <w:r w:rsidR="00294D96">
              <w:rPr>
                <w:rFonts w:ascii="Calibri" w:eastAsia="Times New Roman" w:hAnsi="Calibri" w:cs="Calibri"/>
                <w:color w:val="000000"/>
                <w:lang w:eastAsia="en-GB"/>
              </w:rPr>
              <w:t xml:space="preserve">y expects schools to publicise </w:t>
            </w:r>
            <w:r w:rsidRPr="00FA1BB1">
              <w:rPr>
                <w:rFonts w:ascii="Calibri" w:eastAsia="Times New Roman" w:hAnsi="Calibri" w:cs="Calibri"/>
                <w:color w:val="000000"/>
                <w:lang w:eastAsia="en-GB"/>
              </w:rPr>
              <w:t>information on schemes (internal and external to the university) and to encourage their staff to act as mentors.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2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01" w:type="dxa"/>
            <w:gridSpan w:val="2"/>
            <w:tcBorders>
              <w:top w:val="nil"/>
              <w:left w:val="nil"/>
              <w:bottom w:val="single" w:sz="4" w:space="0" w:color="auto"/>
              <w:right w:val="single" w:sz="4" w:space="0" w:color="auto"/>
            </w:tcBorders>
            <w:shd w:val="clear" w:color="auto" w:fill="auto"/>
            <w:vAlign w:val="center"/>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17</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Networks and Role Models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17a</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supports and encourages networks (university and faculty) and monitors their impact.</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17b</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encourage staff to contribute to internal, external, professional, and special interest networks.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17c</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encourage their female academics to act as role models.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3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01" w:type="dxa"/>
            <w:gridSpan w:val="2"/>
            <w:tcBorders>
              <w:top w:val="nil"/>
              <w:left w:val="nil"/>
              <w:bottom w:val="single" w:sz="4" w:space="0" w:color="auto"/>
              <w:right w:val="single" w:sz="4" w:space="0" w:color="auto"/>
            </w:tcBorders>
            <w:shd w:val="clear" w:color="auto" w:fill="auto"/>
            <w:noWrap/>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18</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Internal and external activities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18a</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monitors by gender department and faculty nominations for roles/positions at faculty /university levels.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18b</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encourage staff to become involved in professional/learned societies.</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r w:rsidR="00FA1BB1" w:rsidRPr="00FA1BB1" w:rsidTr="003177BA">
        <w:trPr>
          <w:gridAfter w:val="1"/>
          <w:wAfter w:w="11" w:type="dxa"/>
          <w:trHeight w:val="1005"/>
        </w:trPr>
        <w:tc>
          <w:tcPr>
            <w:tcW w:w="559"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18c</w:t>
            </w:r>
          </w:p>
        </w:tc>
        <w:tc>
          <w:tcPr>
            <w:tcW w:w="5901" w:type="dxa"/>
            <w:gridSpan w:val="2"/>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monitor by gender the nomina</w:t>
            </w:r>
            <w:r w:rsidR="00294D96">
              <w:rPr>
                <w:rFonts w:ascii="Calibri" w:eastAsia="Times New Roman" w:hAnsi="Calibri" w:cs="Calibri"/>
                <w:color w:val="000000"/>
                <w:lang w:eastAsia="en-GB"/>
              </w:rPr>
              <w:t>tions/recommendations they make</w:t>
            </w:r>
            <w:r w:rsidRPr="00FA1BB1">
              <w:rPr>
                <w:rFonts w:ascii="Calibri" w:eastAsia="Times New Roman" w:hAnsi="Calibri" w:cs="Calibri"/>
                <w:color w:val="000000"/>
                <w:lang w:eastAsia="en-GB"/>
              </w:rPr>
              <w:t xml:space="preserve"> for professional, representative and management roles and for prizes, awards, and marks of esteem.</w:t>
            </w:r>
          </w:p>
        </w:tc>
        <w:tc>
          <w:tcPr>
            <w:tcW w:w="5913" w:type="dxa"/>
            <w:tcBorders>
              <w:top w:val="nil"/>
              <w:left w:val="nil"/>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color w:val="000000"/>
                <w:lang w:eastAsia="en-GB"/>
              </w:rPr>
            </w:pPr>
          </w:p>
        </w:tc>
        <w:tc>
          <w:tcPr>
            <w:tcW w:w="74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FA1BB1">
            <w:pPr>
              <w:spacing w:after="0" w:line="240" w:lineRule="auto"/>
              <w:jc w:val="center"/>
              <w:rPr>
                <w:rFonts w:ascii="Calibri" w:eastAsia="Times New Roman" w:hAnsi="Calibri" w:cs="Calibri"/>
                <w:color w:val="000000"/>
                <w:lang w:eastAsia="en-GB"/>
              </w:rPr>
            </w:pPr>
          </w:p>
        </w:tc>
      </w:tr>
    </w:tbl>
    <w:p w:rsidR="00FA1BB1" w:rsidRDefault="00FA1BB1">
      <w:r>
        <w:br w:type="page"/>
      </w:r>
    </w:p>
    <w:tbl>
      <w:tblPr>
        <w:tblStyle w:val="TableGrid"/>
        <w:tblW w:w="15422" w:type="dxa"/>
        <w:tblLayout w:type="fixed"/>
        <w:tblLook w:val="04A0" w:firstRow="1" w:lastRow="0" w:firstColumn="1" w:lastColumn="0" w:noHBand="0" w:noVBand="1"/>
      </w:tblPr>
      <w:tblGrid>
        <w:gridCol w:w="580"/>
        <w:gridCol w:w="5995"/>
        <w:gridCol w:w="5545"/>
        <w:gridCol w:w="825"/>
        <w:gridCol w:w="826"/>
        <w:gridCol w:w="825"/>
        <w:gridCol w:w="826"/>
      </w:tblGrid>
      <w:tr w:rsidR="00DA411C" w:rsidRPr="00DA411C" w:rsidTr="00294D96">
        <w:trPr>
          <w:trHeight w:val="600"/>
        </w:trPr>
        <w:tc>
          <w:tcPr>
            <w:tcW w:w="580" w:type="dxa"/>
            <w:noWrap/>
            <w:vAlign w:val="center"/>
            <w:hideMark/>
          </w:tcPr>
          <w:p w:rsidR="00DA411C" w:rsidRPr="00DA411C" w:rsidRDefault="00294D96" w:rsidP="00294D96">
            <w:pP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4</w:t>
            </w:r>
          </w:p>
        </w:tc>
        <w:tc>
          <w:tcPr>
            <w:tcW w:w="5995" w:type="dxa"/>
            <w:noWrap/>
            <w:vAlign w:val="center"/>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DEPARTMENT ORGANISATION &amp; CULTURE</w:t>
            </w:r>
          </w:p>
        </w:tc>
        <w:tc>
          <w:tcPr>
            <w:tcW w:w="5545" w:type="dxa"/>
            <w:noWrap/>
            <w:vAlign w:val="center"/>
            <w:hideMark/>
          </w:tcPr>
          <w:p w:rsidR="00DA411C" w:rsidRPr="00DA411C" w:rsidRDefault="00DA411C" w:rsidP="00DA411C">
            <w:pPr>
              <w:rPr>
                <w:rFonts w:ascii="Calibri" w:eastAsia="Times New Roman" w:hAnsi="Calibri" w:cs="Calibri"/>
                <w:b/>
                <w:color w:val="000000"/>
                <w:lang w:eastAsia="en-GB"/>
              </w:rPr>
            </w:pPr>
            <w:r w:rsidRPr="00DA411C">
              <w:rPr>
                <w:rFonts w:ascii="Calibri" w:eastAsia="Times New Roman" w:hAnsi="Calibri" w:cs="Calibri"/>
                <w:b/>
                <w:color w:val="000000"/>
                <w:lang w:eastAsia="en-GB"/>
              </w:rPr>
              <w:t>Comments/notes/description of what is in place</w:t>
            </w:r>
          </w:p>
        </w:tc>
        <w:tc>
          <w:tcPr>
            <w:tcW w:w="825" w:type="dxa"/>
            <w:vAlign w:val="center"/>
            <w:hideMark/>
          </w:tcPr>
          <w:p w:rsidR="00DA411C" w:rsidRPr="003177BA" w:rsidRDefault="00DA411C"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826" w:type="dxa"/>
            <w:vAlign w:val="center"/>
            <w:hideMark/>
          </w:tcPr>
          <w:p w:rsidR="00DA411C" w:rsidRPr="003177BA" w:rsidRDefault="00DA411C"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825" w:type="dxa"/>
            <w:vAlign w:val="center"/>
            <w:hideMark/>
          </w:tcPr>
          <w:p w:rsidR="00DA411C" w:rsidRPr="003177BA" w:rsidRDefault="00DA411C"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826" w:type="dxa"/>
            <w:vAlign w:val="center"/>
            <w:hideMark/>
          </w:tcPr>
          <w:p w:rsidR="00DA411C" w:rsidRPr="003177BA" w:rsidRDefault="00DA411C"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DA411C" w:rsidRPr="00DA411C" w:rsidTr="00FA1BB1">
        <w:trPr>
          <w:trHeight w:val="300"/>
        </w:trPr>
        <w:tc>
          <w:tcPr>
            <w:tcW w:w="580" w:type="dxa"/>
            <w:noWrap/>
            <w:hideMark/>
          </w:tcPr>
          <w:p w:rsidR="00DA411C" w:rsidRPr="00DA411C" w:rsidRDefault="00294D96" w:rsidP="00DA411C">
            <w:pPr>
              <w:rPr>
                <w:rFonts w:ascii="Calibri" w:eastAsia="Times New Roman" w:hAnsi="Calibri" w:cs="Calibri"/>
                <w:b/>
                <w:bCs/>
                <w:color w:val="000000"/>
                <w:lang w:eastAsia="en-GB"/>
              </w:rPr>
            </w:pPr>
            <w:r>
              <w:rPr>
                <w:rFonts w:ascii="Calibri" w:eastAsia="Times New Roman" w:hAnsi="Calibri" w:cs="Calibri"/>
                <w:b/>
                <w:bCs/>
                <w:color w:val="000000"/>
                <w:lang w:eastAsia="en-GB"/>
              </w:rPr>
              <w:t>4A</w:t>
            </w:r>
          </w:p>
        </w:tc>
        <w:tc>
          <w:tcPr>
            <w:tcW w:w="5995"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EFFECTIVE MANAGEMENT</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294D96" w:rsidRPr="00DA411C" w:rsidTr="00294D96">
        <w:trPr>
          <w:trHeight w:val="300"/>
        </w:trPr>
        <w:tc>
          <w:tcPr>
            <w:tcW w:w="580" w:type="dxa"/>
            <w:noWrap/>
            <w:hideMark/>
          </w:tcPr>
          <w:p w:rsidR="00294D96" w:rsidRPr="00DA411C" w:rsidRDefault="00294D96" w:rsidP="00DA411C">
            <w:pPr>
              <w:rPr>
                <w:rFonts w:ascii="Calibri" w:eastAsia="Times New Roman" w:hAnsi="Calibri" w:cs="Calibri"/>
                <w:b/>
                <w:bCs/>
                <w:color w:val="000000"/>
                <w:lang w:eastAsia="en-GB"/>
              </w:rPr>
            </w:pPr>
          </w:p>
        </w:tc>
        <w:tc>
          <w:tcPr>
            <w:tcW w:w="14842" w:type="dxa"/>
            <w:gridSpan w:val="6"/>
            <w:vAlign w:val="center"/>
            <w:hideMark/>
          </w:tcPr>
          <w:p w:rsidR="00294D96" w:rsidRPr="003177BA" w:rsidRDefault="00294D96" w:rsidP="00294D96">
            <w:pPr>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ensures that the administrative and academic contributions of staff to their departments are effectively and fairly managed and resourced.</w:t>
            </w:r>
          </w:p>
        </w:tc>
      </w:tr>
      <w:tr w:rsidR="00DA411C" w:rsidRPr="00DA411C" w:rsidTr="003177BA">
        <w:trPr>
          <w:trHeight w:val="114"/>
        </w:trPr>
        <w:tc>
          <w:tcPr>
            <w:tcW w:w="580" w:type="dxa"/>
            <w:noWrap/>
            <w:hideMark/>
          </w:tcPr>
          <w:p w:rsidR="00DA411C" w:rsidRPr="00DA411C" w:rsidRDefault="00DA411C" w:rsidP="00DA411C">
            <w:pPr>
              <w:rPr>
                <w:rFonts w:ascii="Calibri" w:eastAsia="Times New Roman" w:hAnsi="Calibri" w:cs="Calibri"/>
                <w:b/>
                <w:bCs/>
                <w:color w:val="000000"/>
                <w:lang w:eastAsia="en-GB"/>
              </w:rPr>
            </w:pPr>
          </w:p>
        </w:tc>
        <w:tc>
          <w:tcPr>
            <w:tcW w:w="5995" w:type="dxa"/>
            <w:noWrap/>
            <w:vAlign w:val="center"/>
            <w:hideMark/>
          </w:tcPr>
          <w:p w:rsidR="00DA411C" w:rsidRPr="00DA411C" w:rsidRDefault="00DA411C" w:rsidP="003177BA">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Benchmark 19</w:t>
            </w:r>
            <w:r w:rsidR="00294D96">
              <w:rPr>
                <w:rFonts w:ascii="Calibri" w:eastAsia="Times New Roman" w:hAnsi="Calibri" w:cs="Calibri"/>
                <w:b/>
                <w:bCs/>
                <w:color w:val="000000"/>
                <w:lang w:eastAsia="en-GB"/>
              </w:rPr>
              <w:t>:</w:t>
            </w:r>
            <w:r w:rsidRPr="00DA411C">
              <w:rPr>
                <w:rFonts w:ascii="Calibri" w:eastAsia="Times New Roman" w:hAnsi="Calibri" w:cs="Calibri"/>
                <w:b/>
                <w:bCs/>
                <w:color w:val="000000"/>
                <w:lang w:eastAsia="en-GB"/>
              </w:rPr>
              <w:t xml:space="preserve"> Management systems</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645"/>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19a</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provides guidance and training to Heads of Departments on their accountabilities, reporting and communication responsibilities.</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569"/>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19b</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schools to demonstrate that their accountability, reporting and communication arrangements are clear, effective, open, and well regarded by staff at all levels.</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645"/>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19c</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 xml:space="preserve">The university expects the membership and chairs of committees, </w:t>
            </w:r>
            <w:r w:rsidR="00294D96">
              <w:rPr>
                <w:rFonts w:ascii="Calibri" w:eastAsia="Times New Roman" w:hAnsi="Calibri" w:cs="Calibri"/>
                <w:color w:val="000000"/>
                <w:lang w:eastAsia="en-GB"/>
              </w:rPr>
              <w:t>heads of sections and functions</w:t>
            </w:r>
            <w:r w:rsidRPr="00DA411C">
              <w:rPr>
                <w:rFonts w:ascii="Calibri" w:eastAsia="Times New Roman" w:hAnsi="Calibri" w:cs="Calibri"/>
                <w:color w:val="000000"/>
                <w:lang w:eastAsia="en-GB"/>
              </w:rPr>
              <w:t xml:space="preserve"> to reflect the department staff gender profile.</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3177BA">
        <w:trPr>
          <w:trHeight w:val="3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 </w:t>
            </w:r>
          </w:p>
        </w:tc>
        <w:tc>
          <w:tcPr>
            <w:tcW w:w="5995" w:type="dxa"/>
            <w:noWrap/>
            <w:vAlign w:val="center"/>
            <w:hideMark/>
          </w:tcPr>
          <w:p w:rsidR="00DA411C" w:rsidRPr="00DA411C" w:rsidRDefault="00294D96" w:rsidP="003177BA">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20: </w:t>
            </w:r>
            <w:r w:rsidR="00DA411C" w:rsidRPr="00DA411C">
              <w:rPr>
                <w:rFonts w:ascii="Calibri" w:eastAsia="Times New Roman" w:hAnsi="Calibri" w:cs="Calibri"/>
                <w:b/>
                <w:bCs/>
                <w:color w:val="000000"/>
                <w:lang w:eastAsia="en-GB"/>
              </w:rPr>
              <w:t>Resource allocation</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612"/>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20a</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requires departments to demonstrate that its systems for allocating funding, offices, space, equipment and technical support, etc., are fair, open and well understood.</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695"/>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20b</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requires departments to demonstrate that its systems for allocating funding, offices, space, equipment and technical support, etc., are fair, open and well understood.</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6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20c</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take action/make changes if they find staff perceptions do not reflect the management view.</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3177BA">
        <w:trPr>
          <w:trHeight w:val="3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 </w:t>
            </w:r>
          </w:p>
        </w:tc>
        <w:tc>
          <w:tcPr>
            <w:tcW w:w="5995" w:type="dxa"/>
            <w:vAlign w:val="center"/>
            <w:hideMark/>
          </w:tcPr>
          <w:p w:rsidR="00DA411C" w:rsidRPr="00DA411C" w:rsidRDefault="00DA411C" w:rsidP="003177BA">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Benchmark 21</w:t>
            </w:r>
            <w:r w:rsidR="00294D96">
              <w:rPr>
                <w:rFonts w:ascii="Calibri" w:eastAsia="Times New Roman" w:hAnsi="Calibri" w:cs="Calibri"/>
                <w:b/>
                <w:bCs/>
                <w:color w:val="000000"/>
                <w:lang w:eastAsia="en-GB"/>
              </w:rPr>
              <w:t>:</w:t>
            </w:r>
            <w:r w:rsidRPr="00DA411C">
              <w:rPr>
                <w:rFonts w:ascii="Calibri" w:eastAsia="Times New Roman" w:hAnsi="Calibri" w:cs="Calibri"/>
                <w:b/>
                <w:bCs/>
                <w:color w:val="000000"/>
                <w:lang w:eastAsia="en-GB"/>
              </w:rPr>
              <w:t xml:space="preserve"> Workload, roles and responsibilities </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356"/>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21a</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requires departments to have a regular rotation of management roles and committee memberships.</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715"/>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21b</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(in making their rotations) to take account of individuals’ management experience, the gender balance, continuity and succession planning.</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6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21c</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check staff's perceptions, and take action where necessary.</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3177BA" w:rsidRPr="00DA411C" w:rsidTr="008502C1">
        <w:trPr>
          <w:trHeight w:val="300"/>
        </w:trPr>
        <w:tc>
          <w:tcPr>
            <w:tcW w:w="580" w:type="dxa"/>
            <w:noWrap/>
            <w:hideMark/>
          </w:tcPr>
          <w:p w:rsidR="003177BA" w:rsidRPr="00DA411C" w:rsidRDefault="003177BA" w:rsidP="003177BA">
            <w:pP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4B</w:t>
            </w:r>
          </w:p>
        </w:tc>
        <w:tc>
          <w:tcPr>
            <w:tcW w:w="5995" w:type="dxa"/>
            <w:noWrap/>
            <w:hideMark/>
          </w:tcPr>
          <w:p w:rsidR="003177BA" w:rsidRPr="00DA411C" w:rsidRDefault="003177BA" w:rsidP="003177BA">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CULTURE &amp; ETHOS</w:t>
            </w:r>
          </w:p>
        </w:tc>
        <w:tc>
          <w:tcPr>
            <w:tcW w:w="5545" w:type="dxa"/>
            <w:noWrap/>
            <w:vAlign w:val="center"/>
            <w:hideMark/>
          </w:tcPr>
          <w:p w:rsidR="003177BA" w:rsidRPr="000A31EB" w:rsidRDefault="003177BA" w:rsidP="003177BA">
            <w:pPr>
              <w:rPr>
                <w:rFonts w:ascii="Calibri" w:eastAsia="Times New Roman" w:hAnsi="Calibri" w:cs="Calibri"/>
                <w:b/>
                <w:color w:val="000000"/>
                <w:lang w:eastAsia="en-GB"/>
              </w:rPr>
            </w:pPr>
            <w:r w:rsidRPr="000A31EB">
              <w:rPr>
                <w:rFonts w:ascii="Calibri" w:eastAsia="Times New Roman" w:hAnsi="Calibri" w:cs="Calibri"/>
                <w:b/>
                <w:color w:val="000000"/>
                <w:lang w:eastAsia="en-GB"/>
              </w:rPr>
              <w:t>Comments/notes/description of what is in place</w:t>
            </w:r>
          </w:p>
        </w:tc>
        <w:tc>
          <w:tcPr>
            <w:tcW w:w="825" w:type="dxa"/>
            <w:noWrap/>
            <w:vAlign w:val="center"/>
            <w:hideMark/>
          </w:tcPr>
          <w:p w:rsidR="003177BA" w:rsidRPr="003177BA" w:rsidRDefault="003177BA"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826" w:type="dxa"/>
            <w:noWrap/>
            <w:vAlign w:val="center"/>
            <w:hideMark/>
          </w:tcPr>
          <w:p w:rsidR="003177BA" w:rsidRPr="003177BA" w:rsidRDefault="003177BA"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825" w:type="dxa"/>
            <w:noWrap/>
            <w:vAlign w:val="center"/>
            <w:hideMark/>
          </w:tcPr>
          <w:p w:rsidR="003177BA" w:rsidRPr="003177BA" w:rsidRDefault="003177BA"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826" w:type="dxa"/>
            <w:noWrap/>
            <w:vAlign w:val="center"/>
            <w:hideMark/>
          </w:tcPr>
          <w:p w:rsidR="003177BA" w:rsidRPr="003177BA" w:rsidRDefault="003177BA" w:rsidP="003177BA">
            <w:pPr>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294D96" w:rsidRPr="00DA411C" w:rsidTr="00294D96">
        <w:trPr>
          <w:trHeight w:val="558"/>
        </w:trPr>
        <w:tc>
          <w:tcPr>
            <w:tcW w:w="580" w:type="dxa"/>
            <w:noWrap/>
            <w:hideMark/>
          </w:tcPr>
          <w:p w:rsidR="00294D96" w:rsidRPr="00DA411C" w:rsidRDefault="00294D96"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 </w:t>
            </w:r>
          </w:p>
        </w:tc>
        <w:tc>
          <w:tcPr>
            <w:tcW w:w="14842" w:type="dxa"/>
            <w:gridSpan w:val="6"/>
            <w:vAlign w:val="center"/>
            <w:hideMark/>
          </w:tcPr>
          <w:p w:rsidR="00294D96" w:rsidRPr="003177BA" w:rsidRDefault="00294D96" w:rsidP="00294D96">
            <w:pPr>
              <w:rPr>
                <w:rFonts w:ascii="Calibri" w:eastAsia="Times New Roman" w:hAnsi="Calibri" w:cs="Calibri"/>
                <w:i/>
                <w:color w:val="000000"/>
                <w:lang w:eastAsia="en-GB"/>
              </w:rPr>
            </w:pPr>
            <w:r w:rsidRPr="003177BA">
              <w:rPr>
                <w:rFonts w:ascii="Calibri" w:eastAsia="Times New Roman" w:hAnsi="Calibri" w:cs="Calibri"/>
                <w:i/>
                <w:color w:val="000000"/>
                <w:lang w:eastAsia="en-GB"/>
              </w:rPr>
              <w:t xml:space="preserve">How the university ensures that departments’ working environments responds to the ambitions and expectation of staff, recognises their contributions and enables them to enjoy the rewards of a career in science. </w:t>
            </w:r>
          </w:p>
        </w:tc>
      </w:tr>
      <w:tr w:rsidR="00DA411C" w:rsidRPr="00DA411C" w:rsidTr="003177BA">
        <w:trPr>
          <w:trHeight w:val="3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 </w:t>
            </w:r>
          </w:p>
        </w:tc>
        <w:tc>
          <w:tcPr>
            <w:tcW w:w="5995" w:type="dxa"/>
            <w:noWrap/>
            <w:vAlign w:val="center"/>
            <w:hideMark/>
          </w:tcPr>
          <w:p w:rsidR="00DA411C" w:rsidRPr="00DA411C" w:rsidRDefault="00DA411C" w:rsidP="003177BA">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Benchmark 22</w:t>
            </w:r>
            <w:r w:rsidR="00294D96">
              <w:rPr>
                <w:rFonts w:ascii="Calibri" w:eastAsia="Times New Roman" w:hAnsi="Calibri" w:cs="Calibri"/>
                <w:b/>
                <w:bCs/>
                <w:color w:val="000000"/>
                <w:lang w:eastAsia="en-GB"/>
              </w:rPr>
              <w:t>:</w:t>
            </w:r>
            <w:r w:rsidRPr="00DA411C">
              <w:rPr>
                <w:rFonts w:ascii="Calibri" w:eastAsia="Times New Roman" w:hAnsi="Calibri" w:cs="Calibri"/>
                <w:b/>
                <w:bCs/>
                <w:color w:val="000000"/>
                <w:lang w:eastAsia="en-GB"/>
              </w:rPr>
              <w:t xml:space="preserve"> Workplace environment</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436"/>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22a</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sets high standards for the behaviour expected of staff towards other staff and students.</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9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22b</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requires departments to make sure that all staff are aware of, and respect these standards, and would expect timely and effective action to be taken over any reported ‘breach’.</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658"/>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22c</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check staff perceptions on th</w:t>
            </w:r>
            <w:r w:rsidR="00294D96">
              <w:rPr>
                <w:rFonts w:ascii="Calibri" w:eastAsia="Times New Roman" w:hAnsi="Calibri" w:cs="Calibri"/>
                <w:color w:val="000000"/>
                <w:lang w:eastAsia="en-GB"/>
              </w:rPr>
              <w:t>e openness, friendliness and co</w:t>
            </w:r>
            <w:r w:rsidRPr="00DA411C">
              <w:rPr>
                <w:rFonts w:ascii="Calibri" w:eastAsia="Times New Roman" w:hAnsi="Calibri" w:cs="Calibri"/>
                <w:color w:val="000000"/>
                <w:lang w:eastAsia="en-GB"/>
              </w:rPr>
              <w:t xml:space="preserve">operativeness of their working environment and where necessary to take action. </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3177BA">
        <w:trPr>
          <w:trHeight w:val="3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 </w:t>
            </w:r>
          </w:p>
        </w:tc>
        <w:tc>
          <w:tcPr>
            <w:tcW w:w="5995" w:type="dxa"/>
            <w:noWrap/>
            <w:vAlign w:val="center"/>
            <w:hideMark/>
          </w:tcPr>
          <w:p w:rsidR="00DA411C" w:rsidRPr="00DA411C" w:rsidRDefault="00DA411C" w:rsidP="003177BA">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Benchmark 23</w:t>
            </w:r>
            <w:r w:rsidR="00294D96">
              <w:rPr>
                <w:rFonts w:ascii="Calibri" w:eastAsia="Times New Roman" w:hAnsi="Calibri" w:cs="Calibri"/>
                <w:b/>
                <w:bCs/>
                <w:color w:val="000000"/>
                <w:lang w:eastAsia="en-GB"/>
              </w:rPr>
              <w:t>:</w:t>
            </w:r>
            <w:r w:rsidRPr="00DA411C">
              <w:rPr>
                <w:rFonts w:ascii="Calibri" w:eastAsia="Times New Roman" w:hAnsi="Calibri" w:cs="Calibri"/>
                <w:b/>
                <w:bCs/>
                <w:color w:val="000000"/>
                <w:lang w:eastAsia="en-GB"/>
              </w:rPr>
              <w:t xml:space="preserve"> Collegiality</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1545"/>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23a</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regularly check if their academics and post docs feel that they (and other members of their group) feel they are supported and encouraged by colleagues (junior, peers, senior, and line manager) and if they feel they ‘belong’, and are included in the work and social activities of the department/their group.</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711"/>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23b</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regularly check if th</w:t>
            </w:r>
            <w:r w:rsidR="00D22DE8">
              <w:rPr>
                <w:rFonts w:ascii="Calibri" w:eastAsia="Times New Roman" w:hAnsi="Calibri" w:cs="Calibri"/>
                <w:color w:val="000000"/>
                <w:lang w:eastAsia="en-GB"/>
              </w:rPr>
              <w:t xml:space="preserve">eir academics and post docs </w:t>
            </w:r>
            <w:r w:rsidRPr="00DA411C">
              <w:rPr>
                <w:rFonts w:ascii="Calibri" w:eastAsia="Times New Roman" w:hAnsi="Calibri" w:cs="Calibri"/>
                <w:color w:val="000000"/>
                <w:lang w:eastAsia="en-GB"/>
              </w:rPr>
              <w:t>feel they ‘belong’, and are included in the work and social activities of the department/their group.</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465"/>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23c</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that where necessary the departments take action.</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3177BA">
        <w:trPr>
          <w:trHeight w:val="3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 </w:t>
            </w:r>
          </w:p>
        </w:tc>
        <w:tc>
          <w:tcPr>
            <w:tcW w:w="5995" w:type="dxa"/>
            <w:noWrap/>
            <w:vAlign w:val="center"/>
            <w:hideMark/>
          </w:tcPr>
          <w:p w:rsidR="00DA411C" w:rsidRPr="00DA411C" w:rsidRDefault="00DA411C" w:rsidP="003177BA">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Benchmark 24</w:t>
            </w:r>
            <w:r w:rsidR="00294D96">
              <w:rPr>
                <w:rFonts w:ascii="Calibri" w:eastAsia="Times New Roman" w:hAnsi="Calibri" w:cs="Calibri"/>
                <w:b/>
                <w:bCs/>
                <w:color w:val="000000"/>
                <w:lang w:eastAsia="en-GB"/>
              </w:rPr>
              <w:t>:</w:t>
            </w:r>
            <w:r w:rsidRPr="00DA411C">
              <w:rPr>
                <w:rFonts w:ascii="Calibri" w:eastAsia="Times New Roman" w:hAnsi="Calibri" w:cs="Calibri"/>
                <w:b/>
                <w:bCs/>
                <w:color w:val="000000"/>
                <w:lang w:eastAsia="en-GB"/>
              </w:rPr>
              <w:t xml:space="preserve"> Individual contributions valued</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763"/>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24a</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make sure that all co</w:t>
            </w:r>
            <w:r w:rsidR="00D22DE8">
              <w:rPr>
                <w:rFonts w:ascii="Calibri" w:eastAsia="Times New Roman" w:hAnsi="Calibri" w:cs="Calibri"/>
                <w:color w:val="000000"/>
                <w:lang w:eastAsia="en-GB"/>
              </w:rPr>
              <w:t>ntributions (teaching, research</w:t>
            </w:r>
            <w:r w:rsidRPr="00DA411C">
              <w:rPr>
                <w:rFonts w:ascii="Calibri" w:eastAsia="Times New Roman" w:hAnsi="Calibri" w:cs="Calibri"/>
                <w:color w:val="000000"/>
                <w:lang w:eastAsia="en-GB"/>
              </w:rPr>
              <w:t>, management/administration and external professional) are recognised and valued.</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FA1BB1">
        <w:trPr>
          <w:trHeight w:val="600"/>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t>24b</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departments to regularly check the views on this of their academics and post docs.</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r w:rsidR="00DA411C" w:rsidRPr="00DA411C" w:rsidTr="000A31EB">
        <w:trPr>
          <w:trHeight w:val="388"/>
        </w:trPr>
        <w:tc>
          <w:tcPr>
            <w:tcW w:w="580" w:type="dxa"/>
            <w:noWrap/>
            <w:hideMark/>
          </w:tcPr>
          <w:p w:rsidR="00DA411C" w:rsidRPr="00DA411C" w:rsidRDefault="00DA411C" w:rsidP="00DA411C">
            <w:pPr>
              <w:rPr>
                <w:rFonts w:ascii="Calibri" w:eastAsia="Times New Roman" w:hAnsi="Calibri" w:cs="Calibri"/>
                <w:b/>
                <w:bCs/>
                <w:color w:val="000000"/>
                <w:lang w:eastAsia="en-GB"/>
              </w:rPr>
            </w:pPr>
            <w:r w:rsidRPr="00DA411C">
              <w:rPr>
                <w:rFonts w:ascii="Calibri" w:eastAsia="Times New Roman" w:hAnsi="Calibri" w:cs="Calibri"/>
                <w:b/>
                <w:bCs/>
                <w:color w:val="000000"/>
                <w:lang w:eastAsia="en-GB"/>
              </w:rPr>
              <w:lastRenderedPageBreak/>
              <w:t>24c</w:t>
            </w:r>
          </w:p>
        </w:tc>
        <w:tc>
          <w:tcPr>
            <w:tcW w:w="5995" w:type="dxa"/>
            <w:hideMark/>
          </w:tcPr>
          <w:p w:rsidR="00DA411C" w:rsidRPr="00DA411C" w:rsidRDefault="00DA411C" w:rsidP="00DA411C">
            <w:pPr>
              <w:rPr>
                <w:rFonts w:ascii="Calibri" w:eastAsia="Times New Roman" w:hAnsi="Calibri" w:cs="Calibri"/>
                <w:color w:val="000000"/>
                <w:lang w:eastAsia="en-GB"/>
              </w:rPr>
            </w:pPr>
            <w:r w:rsidRPr="00DA411C">
              <w:rPr>
                <w:rFonts w:ascii="Calibri" w:eastAsia="Times New Roman" w:hAnsi="Calibri" w:cs="Calibri"/>
                <w:color w:val="000000"/>
                <w:lang w:eastAsia="en-GB"/>
              </w:rPr>
              <w:t>The university expects that where necessary departments take action.</w:t>
            </w:r>
          </w:p>
        </w:tc>
        <w:tc>
          <w:tcPr>
            <w:tcW w:w="5545" w:type="dxa"/>
            <w:noWrap/>
            <w:hideMark/>
          </w:tcPr>
          <w:p w:rsidR="00DA411C" w:rsidRPr="00DA411C" w:rsidRDefault="00DA411C" w:rsidP="00FA1BB1">
            <w:pP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5" w:type="dxa"/>
            <w:noWrap/>
            <w:vAlign w:val="center"/>
            <w:hideMark/>
          </w:tcPr>
          <w:p w:rsidR="00DA411C" w:rsidRPr="00DA411C" w:rsidRDefault="00DA411C" w:rsidP="00FA1BB1">
            <w:pPr>
              <w:jc w:val="center"/>
              <w:rPr>
                <w:rFonts w:ascii="Calibri" w:eastAsia="Times New Roman" w:hAnsi="Calibri" w:cs="Calibri"/>
                <w:color w:val="000000"/>
                <w:lang w:eastAsia="en-GB"/>
              </w:rPr>
            </w:pPr>
          </w:p>
        </w:tc>
        <w:tc>
          <w:tcPr>
            <w:tcW w:w="826" w:type="dxa"/>
            <w:noWrap/>
            <w:vAlign w:val="center"/>
            <w:hideMark/>
          </w:tcPr>
          <w:p w:rsidR="00DA411C" w:rsidRPr="00DA411C" w:rsidRDefault="00DA411C" w:rsidP="00FA1BB1">
            <w:pPr>
              <w:jc w:val="center"/>
              <w:rPr>
                <w:rFonts w:ascii="Calibri" w:eastAsia="Times New Roman" w:hAnsi="Calibri" w:cs="Calibri"/>
                <w:color w:val="000000"/>
                <w:lang w:eastAsia="en-GB"/>
              </w:rPr>
            </w:pPr>
          </w:p>
        </w:tc>
      </w:tr>
    </w:tbl>
    <w:p w:rsidR="00D22DE8" w:rsidRDefault="00D22DE8">
      <w:r>
        <w:br w:type="page"/>
      </w:r>
    </w:p>
    <w:tbl>
      <w:tblPr>
        <w:tblW w:w="15326" w:type="dxa"/>
        <w:tblInd w:w="96" w:type="dxa"/>
        <w:tblLayout w:type="fixed"/>
        <w:tblLook w:val="04A0" w:firstRow="1" w:lastRow="0" w:firstColumn="1" w:lastColumn="0" w:noHBand="0" w:noVBand="1"/>
      </w:tblPr>
      <w:tblGrid>
        <w:gridCol w:w="558"/>
        <w:gridCol w:w="5921"/>
        <w:gridCol w:w="5543"/>
        <w:gridCol w:w="826"/>
        <w:gridCol w:w="826"/>
        <w:gridCol w:w="826"/>
        <w:gridCol w:w="826"/>
      </w:tblGrid>
      <w:tr w:rsidR="00FA1BB1" w:rsidRPr="000A31EB" w:rsidTr="00294D96">
        <w:trPr>
          <w:trHeight w:val="6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1" w:rsidRPr="000A31EB" w:rsidRDefault="00294D96" w:rsidP="00294D9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5</w:t>
            </w:r>
          </w:p>
        </w:tc>
        <w:tc>
          <w:tcPr>
            <w:tcW w:w="5921" w:type="dxa"/>
            <w:tcBorders>
              <w:top w:val="single" w:sz="4" w:space="0" w:color="auto"/>
              <w:left w:val="nil"/>
              <w:bottom w:val="single" w:sz="4" w:space="0" w:color="auto"/>
              <w:right w:val="single" w:sz="4" w:space="0" w:color="auto"/>
            </w:tcBorders>
            <w:shd w:val="clear" w:color="auto" w:fill="auto"/>
            <w:noWrap/>
            <w:vAlign w:val="center"/>
            <w:hideMark/>
          </w:tcPr>
          <w:p w:rsidR="00FA1BB1" w:rsidRPr="000A31EB" w:rsidRDefault="00FA1BB1" w:rsidP="00294D96">
            <w:pPr>
              <w:spacing w:after="0" w:line="240" w:lineRule="auto"/>
              <w:rPr>
                <w:rFonts w:ascii="Calibri" w:eastAsia="Times New Roman" w:hAnsi="Calibri" w:cs="Calibri"/>
                <w:b/>
                <w:bCs/>
                <w:color w:val="000000"/>
                <w:lang w:eastAsia="en-GB"/>
              </w:rPr>
            </w:pPr>
            <w:r w:rsidRPr="000A31EB">
              <w:rPr>
                <w:rFonts w:ascii="Calibri" w:eastAsia="Times New Roman" w:hAnsi="Calibri" w:cs="Calibri"/>
                <w:b/>
                <w:bCs/>
                <w:color w:val="000000"/>
                <w:lang w:eastAsia="en-GB"/>
              </w:rPr>
              <w:t>SUSTAINABLE CAREERS</w:t>
            </w:r>
          </w:p>
        </w:tc>
        <w:tc>
          <w:tcPr>
            <w:tcW w:w="5543" w:type="dxa"/>
            <w:tcBorders>
              <w:top w:val="single" w:sz="4" w:space="0" w:color="auto"/>
              <w:left w:val="nil"/>
              <w:bottom w:val="single" w:sz="4" w:space="0" w:color="auto"/>
              <w:right w:val="single" w:sz="4" w:space="0" w:color="auto"/>
            </w:tcBorders>
            <w:shd w:val="clear" w:color="auto" w:fill="auto"/>
            <w:noWrap/>
            <w:vAlign w:val="center"/>
            <w:hideMark/>
          </w:tcPr>
          <w:p w:rsidR="00FA1BB1" w:rsidRPr="000A31EB" w:rsidRDefault="00FA1BB1" w:rsidP="00294D96">
            <w:pPr>
              <w:spacing w:after="0" w:line="240" w:lineRule="auto"/>
              <w:rPr>
                <w:rFonts w:ascii="Calibri" w:eastAsia="Times New Roman" w:hAnsi="Calibri" w:cs="Calibri"/>
                <w:b/>
                <w:color w:val="000000"/>
                <w:lang w:eastAsia="en-GB"/>
              </w:rPr>
            </w:pPr>
            <w:r w:rsidRPr="000A31EB">
              <w:rPr>
                <w:rFonts w:ascii="Calibri" w:eastAsia="Times New Roman" w:hAnsi="Calibri" w:cs="Calibri"/>
                <w:b/>
                <w:color w:val="000000"/>
                <w:lang w:eastAsia="en-GB"/>
              </w:rPr>
              <w:t>Comments/notes/description of what is in place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A1BB1" w:rsidRPr="003177BA" w:rsidRDefault="00FA1BB1"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294D96" w:rsidP="00FA1B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5A</w:t>
            </w:r>
          </w:p>
        </w:tc>
        <w:tc>
          <w:tcPr>
            <w:tcW w:w="5921"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FLEXIBILITY</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294D96" w:rsidRPr="00FA1BB1" w:rsidTr="00294D96">
        <w:trPr>
          <w:trHeight w:val="345"/>
        </w:trPr>
        <w:tc>
          <w:tcPr>
            <w:tcW w:w="558" w:type="dxa"/>
            <w:tcBorders>
              <w:top w:val="nil"/>
              <w:left w:val="single" w:sz="4" w:space="0" w:color="auto"/>
              <w:bottom w:val="single" w:sz="4" w:space="0" w:color="auto"/>
              <w:right w:val="single" w:sz="4" w:space="0" w:color="auto"/>
            </w:tcBorders>
            <w:shd w:val="clear" w:color="auto" w:fill="auto"/>
            <w:noWrap/>
            <w:hideMark/>
          </w:tcPr>
          <w:p w:rsidR="00294D96" w:rsidRPr="00FA1BB1" w:rsidRDefault="00294D96"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14768" w:type="dxa"/>
            <w:gridSpan w:val="6"/>
            <w:tcBorders>
              <w:top w:val="nil"/>
              <w:left w:val="nil"/>
              <w:bottom w:val="single" w:sz="4" w:space="0" w:color="auto"/>
              <w:right w:val="single" w:sz="4" w:space="0" w:color="auto"/>
            </w:tcBorders>
            <w:shd w:val="clear" w:color="auto" w:fill="auto"/>
            <w:vAlign w:val="center"/>
            <w:hideMark/>
          </w:tcPr>
          <w:p w:rsidR="00294D96" w:rsidRPr="003177BA" w:rsidRDefault="00294D96" w:rsidP="00294D96">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How the university ensures the flexibility that underpins successful careers</w:t>
            </w: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21" w:type="dxa"/>
            <w:tcBorders>
              <w:top w:val="nil"/>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25</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Approaches to flexible working</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9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25a</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has in place policies and practices on flexible working for academics and post docs, and provides practical guidance and training on managing flexible arrangements.</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66"/>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25b</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be aware of statutory requirements, and what is good practice, and to know where they/their staff can get advice and information.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25c</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discourage a long hours culture, to check staff perceptions on this, and where necessary takes action.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21" w:type="dxa"/>
            <w:tcBorders>
              <w:top w:val="nil"/>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26</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Take up of flexibility</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26a</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check that their sections/groups make it easy for staff to take advantage of flexibility.</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26b</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encourage senior staff to lead by example in their own working arrangements.</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26c</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check the uptake of flexibility, and the extent to which staff feel they are encouraged to work flexibly.</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21" w:type="dxa"/>
            <w:tcBorders>
              <w:top w:val="nil"/>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27</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Flexibility </w:t>
            </w:r>
            <w:r w:rsidR="000A31EB">
              <w:rPr>
                <w:rFonts w:ascii="Calibri" w:eastAsia="Times New Roman" w:hAnsi="Calibri" w:cs="Calibri"/>
                <w:b/>
                <w:bCs/>
                <w:color w:val="000000"/>
                <w:lang w:eastAsia="en-GB"/>
              </w:rPr>
              <w:t>b</w:t>
            </w:r>
            <w:r w:rsidRPr="00FA1BB1">
              <w:rPr>
                <w:rFonts w:ascii="Calibri" w:eastAsia="Times New Roman" w:hAnsi="Calibri" w:cs="Calibri"/>
                <w:b/>
                <w:bCs/>
                <w:color w:val="000000"/>
                <w:lang w:eastAsia="en-GB"/>
              </w:rPr>
              <w:t>uilt into arrangements</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27a</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expects departments to timetable meetings and events so as make sure as many staff as possible can attend. </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9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27b</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make sure that its sections/groups take individuals' needs for flexibility/circumstances into account when teaching is timetabled.</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6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lastRenderedPageBreak/>
              <w:t>27c</w:t>
            </w:r>
          </w:p>
        </w:tc>
        <w:tc>
          <w:tcPr>
            <w:tcW w:w="5921" w:type="dxa"/>
            <w:tcBorders>
              <w:top w:val="nil"/>
              <w:left w:val="nil"/>
              <w:bottom w:val="single" w:sz="4" w:space="0" w:color="auto"/>
              <w:right w:val="single" w:sz="4" w:space="0" w:color="auto"/>
            </w:tcBorders>
            <w:shd w:val="clear" w:color="auto" w:fill="auto"/>
            <w:hideMark/>
          </w:tcPr>
          <w:p w:rsidR="000A31EB"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regularly check academics and post docs perceptions on this and where necessary takes action.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3177BA" w:rsidRPr="00FA1BB1" w:rsidTr="003177BA">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BA" w:rsidRPr="00FA1BB1" w:rsidRDefault="003177BA"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5B</w:t>
            </w:r>
          </w:p>
        </w:tc>
        <w:tc>
          <w:tcPr>
            <w:tcW w:w="5921" w:type="dxa"/>
            <w:tcBorders>
              <w:top w:val="single" w:sz="4" w:space="0" w:color="auto"/>
              <w:left w:val="nil"/>
              <w:bottom w:val="single" w:sz="4" w:space="0" w:color="auto"/>
              <w:right w:val="single" w:sz="4" w:space="0" w:color="auto"/>
            </w:tcBorders>
            <w:shd w:val="clear" w:color="auto" w:fill="auto"/>
            <w:vAlign w:val="center"/>
            <w:hideMark/>
          </w:tcPr>
          <w:p w:rsidR="003177BA" w:rsidRPr="00FA1BB1" w:rsidRDefault="003177BA"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CAREER BREAKS &amp; INTERRUPTED CAREERS</w:t>
            </w:r>
          </w:p>
        </w:tc>
        <w:tc>
          <w:tcPr>
            <w:tcW w:w="5543" w:type="dxa"/>
            <w:tcBorders>
              <w:top w:val="single" w:sz="4" w:space="0" w:color="auto"/>
              <w:left w:val="nil"/>
              <w:bottom w:val="single" w:sz="4" w:space="0" w:color="auto"/>
              <w:right w:val="single" w:sz="4" w:space="0" w:color="auto"/>
            </w:tcBorders>
            <w:shd w:val="clear" w:color="auto" w:fill="auto"/>
            <w:noWrap/>
            <w:vAlign w:val="center"/>
            <w:hideMark/>
          </w:tcPr>
          <w:p w:rsidR="003177BA" w:rsidRPr="000A31EB" w:rsidRDefault="003177BA" w:rsidP="003177BA">
            <w:pPr>
              <w:spacing w:after="0" w:line="240" w:lineRule="auto"/>
              <w:rPr>
                <w:rFonts w:ascii="Calibri" w:eastAsia="Times New Roman" w:hAnsi="Calibri" w:cs="Calibri"/>
                <w:b/>
                <w:color w:val="000000"/>
                <w:lang w:eastAsia="en-GB"/>
              </w:rPr>
            </w:pPr>
            <w:r w:rsidRPr="000A31EB">
              <w:rPr>
                <w:rFonts w:ascii="Calibri" w:eastAsia="Times New Roman" w:hAnsi="Calibri" w:cs="Calibri"/>
                <w:b/>
                <w:color w:val="000000"/>
                <w:lang w:eastAsia="en-GB"/>
              </w:rPr>
              <w:t>Comments/notes/description of what is in place</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Not in place</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Partly</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Almost</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3177BA" w:rsidRPr="003177BA" w:rsidRDefault="003177BA" w:rsidP="003177BA">
            <w:pPr>
              <w:spacing w:after="0" w:line="240" w:lineRule="auto"/>
              <w:ind w:left="-125" w:right="-112"/>
              <w:jc w:val="center"/>
              <w:rPr>
                <w:rFonts w:ascii="Calibri" w:eastAsia="Times New Roman" w:hAnsi="Calibri" w:cs="Calibri"/>
                <w:b/>
                <w:bCs/>
                <w:color w:val="000000"/>
                <w:lang w:eastAsia="en-GB"/>
              </w:rPr>
            </w:pPr>
            <w:r w:rsidRPr="003177BA">
              <w:rPr>
                <w:rFonts w:ascii="Calibri" w:eastAsia="Times New Roman" w:hAnsi="Calibri" w:cs="Calibri"/>
                <w:b/>
                <w:bCs/>
                <w:color w:val="000000"/>
                <w:lang w:eastAsia="en-GB"/>
              </w:rPr>
              <w:t>Fully in place</w:t>
            </w:r>
          </w:p>
        </w:tc>
      </w:tr>
      <w:tr w:rsidR="00294D96" w:rsidRPr="00FA1BB1" w:rsidTr="00294D96">
        <w:trPr>
          <w:trHeight w:val="558"/>
        </w:trPr>
        <w:tc>
          <w:tcPr>
            <w:tcW w:w="558" w:type="dxa"/>
            <w:tcBorders>
              <w:top w:val="nil"/>
              <w:left w:val="single" w:sz="4" w:space="0" w:color="auto"/>
              <w:bottom w:val="single" w:sz="4" w:space="0" w:color="auto"/>
              <w:right w:val="single" w:sz="4" w:space="0" w:color="auto"/>
            </w:tcBorders>
            <w:shd w:val="clear" w:color="auto" w:fill="auto"/>
            <w:noWrap/>
            <w:hideMark/>
          </w:tcPr>
          <w:p w:rsidR="00294D96" w:rsidRPr="00FA1BB1" w:rsidRDefault="00294D96"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14768" w:type="dxa"/>
            <w:gridSpan w:val="6"/>
            <w:tcBorders>
              <w:top w:val="nil"/>
              <w:left w:val="nil"/>
              <w:bottom w:val="single" w:sz="4" w:space="0" w:color="auto"/>
              <w:right w:val="single" w:sz="4" w:space="0" w:color="auto"/>
            </w:tcBorders>
            <w:shd w:val="clear" w:color="auto" w:fill="auto"/>
            <w:vAlign w:val="center"/>
            <w:hideMark/>
          </w:tcPr>
          <w:p w:rsidR="00294D96" w:rsidRPr="003177BA" w:rsidRDefault="00294D96" w:rsidP="00294D96">
            <w:pPr>
              <w:spacing w:after="0" w:line="240" w:lineRule="auto"/>
              <w:rPr>
                <w:rFonts w:ascii="Calibri" w:eastAsia="Times New Roman" w:hAnsi="Calibri" w:cs="Calibri"/>
                <w:i/>
                <w:color w:val="000000"/>
                <w:lang w:eastAsia="en-GB"/>
              </w:rPr>
            </w:pPr>
            <w:r w:rsidRPr="003177BA">
              <w:rPr>
                <w:rFonts w:ascii="Calibri" w:eastAsia="Times New Roman" w:hAnsi="Calibri" w:cs="Calibri"/>
                <w:i/>
                <w:color w:val="000000"/>
                <w:lang w:eastAsia="en-GB"/>
              </w:rPr>
              <w:t xml:space="preserve">How the university ensures that the arrangements made for career breaks can enable individuals to maintain a career trajectory which meets their circumstances, abilities and ambitions </w:t>
            </w: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21" w:type="dxa"/>
            <w:tcBorders>
              <w:top w:val="nil"/>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28</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Supportive approaches to career breaks</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28a</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provides practical guidance on support for staff before, during and after career breaks or unplanned career interruption.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9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28b</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demonstrate their ability and willingness to support staff to cope with the practicalities before, during and after a career break or unplanned career interruption.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9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28c</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provide easily accessible advice and information, and to check that disciplines/sections are aware of what the school and the university can/does provide.</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21" w:type="dxa"/>
            <w:tcBorders>
              <w:top w:val="nil"/>
              <w:left w:val="nil"/>
              <w:bottom w:val="single" w:sz="4" w:space="0" w:color="auto"/>
              <w:right w:val="single" w:sz="4" w:space="0" w:color="auto"/>
            </w:tcBorders>
            <w:shd w:val="clear" w:color="auto" w:fill="auto"/>
            <w:vAlign w:val="center"/>
            <w:hideMark/>
          </w:tcPr>
          <w:p w:rsidR="00FA1BB1" w:rsidRPr="00FA1BB1" w:rsidRDefault="00294D96" w:rsidP="003177B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Benchmark 29: </w:t>
            </w:r>
            <w:r w:rsidR="00FA1BB1" w:rsidRPr="00FA1BB1">
              <w:rPr>
                <w:rFonts w:ascii="Calibri" w:eastAsia="Times New Roman" w:hAnsi="Calibri" w:cs="Calibri"/>
                <w:b/>
                <w:bCs/>
                <w:color w:val="000000"/>
                <w:lang w:eastAsia="en-GB"/>
              </w:rPr>
              <w:t>Career breaks- before and during</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95"/>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29a</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departments to arrange meetings before and after a career break to check that individuals are getting the support, advice and information they want</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9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29b</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university expects departments to helps with, advise on, and/or makes the support arrangements (for administration/teaching/research responsibilities) before, during and after the career break. </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3177BA">
        <w:trPr>
          <w:trHeight w:val="3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 </w:t>
            </w:r>
          </w:p>
        </w:tc>
        <w:tc>
          <w:tcPr>
            <w:tcW w:w="5921" w:type="dxa"/>
            <w:tcBorders>
              <w:top w:val="nil"/>
              <w:left w:val="nil"/>
              <w:bottom w:val="single" w:sz="4" w:space="0" w:color="auto"/>
              <w:right w:val="single" w:sz="4" w:space="0" w:color="auto"/>
            </w:tcBorders>
            <w:shd w:val="clear" w:color="auto" w:fill="auto"/>
            <w:vAlign w:val="center"/>
            <w:hideMark/>
          </w:tcPr>
          <w:p w:rsidR="00FA1BB1" w:rsidRPr="00FA1BB1" w:rsidRDefault="00FA1BB1" w:rsidP="003177BA">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Benchmark 30</w:t>
            </w:r>
            <w:r w:rsidR="00294D96">
              <w:rPr>
                <w:rFonts w:ascii="Calibri" w:eastAsia="Times New Roman" w:hAnsi="Calibri" w:cs="Calibri"/>
                <w:b/>
                <w:bCs/>
                <w:color w:val="000000"/>
                <w:lang w:eastAsia="en-GB"/>
              </w:rPr>
              <w:t>:</w:t>
            </w:r>
            <w:r w:rsidRPr="00FA1BB1">
              <w:rPr>
                <w:rFonts w:ascii="Calibri" w:eastAsia="Times New Roman" w:hAnsi="Calibri" w:cs="Calibri"/>
                <w:b/>
                <w:bCs/>
                <w:color w:val="000000"/>
                <w:lang w:eastAsia="en-GB"/>
              </w:rPr>
              <w:t xml:space="preserve"> Career breaks</w:t>
            </w:r>
            <w:r w:rsidR="00294D96">
              <w:rPr>
                <w:rFonts w:ascii="Calibri" w:eastAsia="Times New Roman" w:hAnsi="Calibri" w:cs="Calibri"/>
                <w:b/>
                <w:bCs/>
                <w:color w:val="000000"/>
                <w:lang w:eastAsia="en-GB"/>
              </w:rPr>
              <w:t xml:space="preserve"> </w:t>
            </w:r>
            <w:r w:rsidRPr="00FA1BB1">
              <w:rPr>
                <w:rFonts w:ascii="Calibri" w:eastAsia="Times New Roman" w:hAnsi="Calibri" w:cs="Calibri"/>
                <w:b/>
                <w:bCs/>
                <w:color w:val="000000"/>
                <w:lang w:eastAsia="en-GB"/>
              </w:rPr>
              <w:t>- on and after return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219"/>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30a</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provides good quality childcare for academic and post docs.</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666"/>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t>30b</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 xml:space="preserve">The </w:t>
            </w:r>
            <w:r w:rsidR="00D22DE8">
              <w:rPr>
                <w:rFonts w:ascii="Calibri" w:eastAsia="Times New Roman" w:hAnsi="Calibri" w:cs="Calibri"/>
                <w:color w:val="000000"/>
                <w:lang w:eastAsia="en-GB"/>
              </w:rPr>
              <w:t xml:space="preserve">university expects departments to </w:t>
            </w:r>
            <w:r w:rsidRPr="00FA1BB1">
              <w:rPr>
                <w:rFonts w:ascii="Calibri" w:eastAsia="Times New Roman" w:hAnsi="Calibri" w:cs="Calibri"/>
                <w:color w:val="000000"/>
                <w:lang w:eastAsia="en-GB"/>
              </w:rPr>
              <w:t>recognises returners' needs for flexibility, personal support, mentoring, training and development to facilitate a smooth return.</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r w:rsidR="00FA1BB1" w:rsidRPr="00FA1BB1" w:rsidTr="000A31EB">
        <w:trPr>
          <w:trHeight w:val="900"/>
        </w:trPr>
        <w:tc>
          <w:tcPr>
            <w:tcW w:w="558" w:type="dxa"/>
            <w:tcBorders>
              <w:top w:val="nil"/>
              <w:left w:val="single" w:sz="4" w:space="0" w:color="auto"/>
              <w:bottom w:val="single" w:sz="4" w:space="0" w:color="auto"/>
              <w:right w:val="single" w:sz="4" w:space="0" w:color="auto"/>
            </w:tcBorders>
            <w:shd w:val="clear" w:color="auto" w:fill="auto"/>
            <w:noWrap/>
            <w:hideMark/>
          </w:tcPr>
          <w:p w:rsidR="00FA1BB1" w:rsidRPr="00FA1BB1" w:rsidRDefault="00FA1BB1" w:rsidP="00FA1BB1">
            <w:pPr>
              <w:spacing w:after="0" w:line="240" w:lineRule="auto"/>
              <w:rPr>
                <w:rFonts w:ascii="Calibri" w:eastAsia="Times New Roman" w:hAnsi="Calibri" w:cs="Calibri"/>
                <w:b/>
                <w:bCs/>
                <w:color w:val="000000"/>
                <w:lang w:eastAsia="en-GB"/>
              </w:rPr>
            </w:pPr>
            <w:r w:rsidRPr="00FA1BB1">
              <w:rPr>
                <w:rFonts w:ascii="Calibri" w:eastAsia="Times New Roman" w:hAnsi="Calibri" w:cs="Calibri"/>
                <w:b/>
                <w:bCs/>
                <w:color w:val="000000"/>
                <w:lang w:eastAsia="en-GB"/>
              </w:rPr>
              <w:lastRenderedPageBreak/>
              <w:t>30c</w:t>
            </w:r>
          </w:p>
        </w:tc>
        <w:tc>
          <w:tcPr>
            <w:tcW w:w="5921" w:type="dxa"/>
            <w:tcBorders>
              <w:top w:val="nil"/>
              <w:left w:val="nil"/>
              <w:bottom w:val="single" w:sz="4" w:space="0" w:color="auto"/>
              <w:right w:val="single" w:sz="4" w:space="0" w:color="auto"/>
            </w:tcBorders>
            <w:shd w:val="clear" w:color="auto" w:fill="auto"/>
            <w:hideMark/>
          </w:tcPr>
          <w:p w:rsidR="00FA1BB1" w:rsidRPr="00FA1BB1" w:rsidRDefault="00FA1BB1" w:rsidP="00FA1BB1">
            <w:pPr>
              <w:spacing w:after="0" w:line="240" w:lineRule="auto"/>
              <w:rPr>
                <w:rFonts w:ascii="Calibri" w:eastAsia="Times New Roman" w:hAnsi="Calibri" w:cs="Calibri"/>
                <w:color w:val="000000"/>
                <w:lang w:eastAsia="en-GB"/>
              </w:rPr>
            </w:pPr>
            <w:r w:rsidRPr="00FA1BB1">
              <w:rPr>
                <w:rFonts w:ascii="Calibri" w:eastAsia="Times New Roman" w:hAnsi="Calibri" w:cs="Calibri"/>
                <w:color w:val="000000"/>
                <w:lang w:eastAsia="en-GB"/>
              </w:rPr>
              <w:t>The university expects HoDs/section heads to holds a meeting some weeks after their return, to discuss with the individual what is needed to get their career back on track, and over what time scale.</w:t>
            </w:r>
          </w:p>
        </w:tc>
        <w:tc>
          <w:tcPr>
            <w:tcW w:w="5543" w:type="dxa"/>
            <w:tcBorders>
              <w:top w:val="nil"/>
              <w:left w:val="nil"/>
              <w:bottom w:val="single" w:sz="4" w:space="0" w:color="auto"/>
              <w:right w:val="single" w:sz="4" w:space="0" w:color="auto"/>
            </w:tcBorders>
            <w:shd w:val="clear" w:color="auto" w:fill="auto"/>
            <w:noWrap/>
            <w:hideMark/>
          </w:tcPr>
          <w:p w:rsidR="00FA1BB1" w:rsidRPr="00FA1BB1" w:rsidRDefault="00FA1BB1" w:rsidP="000A31EB">
            <w:pPr>
              <w:spacing w:after="0" w:line="240" w:lineRule="auto"/>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c>
          <w:tcPr>
            <w:tcW w:w="826" w:type="dxa"/>
            <w:tcBorders>
              <w:top w:val="nil"/>
              <w:left w:val="nil"/>
              <w:bottom w:val="single" w:sz="4" w:space="0" w:color="auto"/>
              <w:right w:val="single" w:sz="4" w:space="0" w:color="auto"/>
            </w:tcBorders>
            <w:shd w:val="clear" w:color="auto" w:fill="auto"/>
            <w:noWrap/>
            <w:vAlign w:val="center"/>
            <w:hideMark/>
          </w:tcPr>
          <w:p w:rsidR="00FA1BB1" w:rsidRPr="00FA1BB1" w:rsidRDefault="00FA1BB1" w:rsidP="000A31EB">
            <w:pPr>
              <w:spacing w:after="0" w:line="240" w:lineRule="auto"/>
              <w:jc w:val="center"/>
              <w:rPr>
                <w:rFonts w:ascii="Calibri" w:eastAsia="Times New Roman" w:hAnsi="Calibri" w:cs="Calibri"/>
                <w:color w:val="000000"/>
                <w:lang w:eastAsia="en-GB"/>
              </w:rPr>
            </w:pPr>
          </w:p>
        </w:tc>
      </w:tr>
    </w:tbl>
    <w:p w:rsidR="00DA411C" w:rsidRDefault="00DA411C"/>
    <w:sectPr w:rsidR="00DA411C" w:rsidSect="001B4F92">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41" w:rsidRDefault="001D4E41" w:rsidP="000A31EB">
      <w:pPr>
        <w:spacing w:after="0" w:line="240" w:lineRule="auto"/>
      </w:pPr>
      <w:r>
        <w:separator/>
      </w:r>
    </w:p>
  </w:endnote>
  <w:endnote w:type="continuationSeparator" w:id="0">
    <w:p w:rsidR="001D4E41" w:rsidRDefault="001D4E41" w:rsidP="000A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96" w:rsidRDefault="00294D96">
    <w:pPr>
      <w:pStyle w:val="Footer"/>
      <w:jc w:val="right"/>
    </w:pPr>
  </w:p>
  <w:p w:rsidR="00294D96" w:rsidRDefault="00294D96" w:rsidP="00CB0EC9">
    <w:pPr>
      <w:pStyle w:val="Footer"/>
    </w:pPr>
    <w:r w:rsidRPr="000A31EB">
      <w:t>©Oxford Research and Policy: This checklist may not be reproduced or disseminated without infringing copyright</w:t>
    </w:r>
    <w:r w:rsidRPr="00CB0EC9">
      <w:t xml:space="preserve"> </w:t>
    </w:r>
    <w:sdt>
      <w:sdtPr>
        <w:id w:val="9984488"/>
        <w:docPartObj>
          <w:docPartGallery w:val="Page Numbers (Bottom of Page)"/>
          <w:docPartUnique/>
        </w:docPartObj>
      </w:sdtPr>
      <w:sdtContent>
        <w:r>
          <w:tab/>
        </w:r>
        <w:r>
          <w:tab/>
        </w:r>
        <w:r>
          <w:tab/>
        </w:r>
        <w:r>
          <w:tab/>
        </w:r>
        <w:r>
          <w:tab/>
        </w:r>
        <w:r>
          <w:tab/>
        </w:r>
        <w:r>
          <w:tab/>
        </w:r>
        <w:r>
          <w:fldChar w:fldCharType="begin"/>
        </w:r>
        <w:r>
          <w:instrText xml:space="preserve"> PAGE   \* MERGEFORMAT </w:instrText>
        </w:r>
        <w:r>
          <w:fldChar w:fldCharType="separate"/>
        </w:r>
        <w:r w:rsidR="00A81CE1">
          <w:rPr>
            <w:noProof/>
          </w:rPr>
          <w:t>3</w:t>
        </w:r>
        <w:r>
          <w:rPr>
            <w:noProof/>
          </w:rPr>
          <w:fldChar w:fldCharType="end"/>
        </w:r>
      </w:sdtContent>
    </w:sdt>
  </w:p>
  <w:p w:rsidR="00294D96" w:rsidRDefault="0029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41" w:rsidRDefault="001D4E41" w:rsidP="000A31EB">
      <w:pPr>
        <w:spacing w:after="0" w:line="240" w:lineRule="auto"/>
      </w:pPr>
      <w:r>
        <w:separator/>
      </w:r>
    </w:p>
  </w:footnote>
  <w:footnote w:type="continuationSeparator" w:id="0">
    <w:p w:rsidR="001D4E41" w:rsidRDefault="001D4E41" w:rsidP="000A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96" w:rsidRPr="00CB0EC9" w:rsidRDefault="00294D96" w:rsidP="00CB0EC9">
    <w:pPr>
      <w:pStyle w:val="Header"/>
    </w:pPr>
    <w:r w:rsidRPr="00CB0EC9">
      <w:rPr>
        <w:i/>
      </w:rPr>
      <w:t xml:space="preserve">Produced by Oxford Research and Policy Good Practice </w:t>
    </w:r>
    <w:r w:rsidRPr="00CB0EC9">
      <w:rPr>
        <w:i/>
      </w:rPr>
      <w:tab/>
    </w:r>
    <w:r w:rsidRPr="00CB0EC9">
      <w:rPr>
        <w:i/>
      </w:rPr>
      <w:tab/>
    </w:r>
    <w:r>
      <w:rPr>
        <w:i/>
      </w:rPr>
      <w:tab/>
    </w:r>
    <w:r>
      <w:rPr>
        <w:i/>
      </w:rPr>
      <w:tab/>
      <w:t xml:space="preserve">Institution </w:t>
    </w:r>
    <w:r w:rsidRPr="00CB0EC9">
      <w:rPr>
        <w:i/>
      </w:rPr>
      <w:t xml:space="preserve">Checklist Version </w:t>
    </w:r>
    <w:r>
      <w:rPr>
        <w:i/>
      </w:rPr>
      <w:t>1.11: (March 2015</w:t>
    </w:r>
    <w:r w:rsidRPr="00CB0EC9">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92"/>
    <w:rsid w:val="000A31EB"/>
    <w:rsid w:val="001B4F92"/>
    <w:rsid w:val="001B7004"/>
    <w:rsid w:val="001D4E41"/>
    <w:rsid w:val="00253C88"/>
    <w:rsid w:val="00294D96"/>
    <w:rsid w:val="003177BA"/>
    <w:rsid w:val="003C1607"/>
    <w:rsid w:val="0055379C"/>
    <w:rsid w:val="005C7578"/>
    <w:rsid w:val="00691D8E"/>
    <w:rsid w:val="006A011B"/>
    <w:rsid w:val="00767119"/>
    <w:rsid w:val="00794432"/>
    <w:rsid w:val="007F0074"/>
    <w:rsid w:val="00943EC0"/>
    <w:rsid w:val="009608D0"/>
    <w:rsid w:val="009702E7"/>
    <w:rsid w:val="00A81CE1"/>
    <w:rsid w:val="00A84C4E"/>
    <w:rsid w:val="00B14AEA"/>
    <w:rsid w:val="00C1356E"/>
    <w:rsid w:val="00CB0EC9"/>
    <w:rsid w:val="00D22DE8"/>
    <w:rsid w:val="00DA411C"/>
    <w:rsid w:val="00E47435"/>
    <w:rsid w:val="00EF56BA"/>
    <w:rsid w:val="00FA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9D50"/>
  <w15:docId w15:val="{AE0BFD6E-1ADF-4E74-AF65-0588977A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EB"/>
  </w:style>
  <w:style w:type="paragraph" w:styleId="Footer">
    <w:name w:val="footer"/>
    <w:basedOn w:val="Normal"/>
    <w:link w:val="FooterChar"/>
    <w:uiPriority w:val="99"/>
    <w:unhideWhenUsed/>
    <w:rsid w:val="000A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1EB"/>
  </w:style>
  <w:style w:type="paragraph" w:styleId="BalloonText">
    <w:name w:val="Balloon Text"/>
    <w:basedOn w:val="Normal"/>
    <w:link w:val="BalloonTextChar"/>
    <w:uiPriority w:val="99"/>
    <w:semiHidden/>
    <w:unhideWhenUsed/>
    <w:rsid w:val="0025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5859">
      <w:bodyDiv w:val="1"/>
      <w:marLeft w:val="0"/>
      <w:marRight w:val="0"/>
      <w:marTop w:val="0"/>
      <w:marBottom w:val="0"/>
      <w:divBdr>
        <w:top w:val="none" w:sz="0" w:space="0" w:color="auto"/>
        <w:left w:val="none" w:sz="0" w:space="0" w:color="auto"/>
        <w:bottom w:val="none" w:sz="0" w:space="0" w:color="auto"/>
        <w:right w:val="none" w:sz="0" w:space="0" w:color="auto"/>
      </w:divBdr>
    </w:div>
    <w:div w:id="466046306">
      <w:bodyDiv w:val="1"/>
      <w:marLeft w:val="0"/>
      <w:marRight w:val="0"/>
      <w:marTop w:val="0"/>
      <w:marBottom w:val="0"/>
      <w:divBdr>
        <w:top w:val="none" w:sz="0" w:space="0" w:color="auto"/>
        <w:left w:val="none" w:sz="0" w:space="0" w:color="auto"/>
        <w:bottom w:val="none" w:sz="0" w:space="0" w:color="auto"/>
        <w:right w:val="none" w:sz="0" w:space="0" w:color="auto"/>
      </w:divBdr>
    </w:div>
    <w:div w:id="797719180">
      <w:bodyDiv w:val="1"/>
      <w:marLeft w:val="0"/>
      <w:marRight w:val="0"/>
      <w:marTop w:val="0"/>
      <w:marBottom w:val="0"/>
      <w:divBdr>
        <w:top w:val="none" w:sz="0" w:space="0" w:color="auto"/>
        <w:left w:val="none" w:sz="0" w:space="0" w:color="auto"/>
        <w:bottom w:val="none" w:sz="0" w:space="0" w:color="auto"/>
        <w:right w:val="none" w:sz="0" w:space="0" w:color="auto"/>
      </w:divBdr>
    </w:div>
    <w:div w:id="1221405547">
      <w:bodyDiv w:val="1"/>
      <w:marLeft w:val="0"/>
      <w:marRight w:val="0"/>
      <w:marTop w:val="0"/>
      <w:marBottom w:val="0"/>
      <w:divBdr>
        <w:top w:val="none" w:sz="0" w:space="0" w:color="auto"/>
        <w:left w:val="none" w:sz="0" w:space="0" w:color="auto"/>
        <w:bottom w:val="none" w:sz="0" w:space="0" w:color="auto"/>
        <w:right w:val="none" w:sz="0" w:space="0" w:color="auto"/>
      </w:divBdr>
    </w:div>
    <w:div w:id="1304889953">
      <w:bodyDiv w:val="1"/>
      <w:marLeft w:val="0"/>
      <w:marRight w:val="0"/>
      <w:marTop w:val="0"/>
      <w:marBottom w:val="0"/>
      <w:divBdr>
        <w:top w:val="none" w:sz="0" w:space="0" w:color="auto"/>
        <w:left w:val="none" w:sz="0" w:space="0" w:color="auto"/>
        <w:bottom w:val="none" w:sz="0" w:space="0" w:color="auto"/>
        <w:right w:val="none" w:sz="0" w:space="0" w:color="auto"/>
      </w:divBdr>
    </w:div>
    <w:div w:id="1334800974">
      <w:bodyDiv w:val="1"/>
      <w:marLeft w:val="0"/>
      <w:marRight w:val="0"/>
      <w:marTop w:val="0"/>
      <w:marBottom w:val="0"/>
      <w:divBdr>
        <w:top w:val="none" w:sz="0" w:space="0" w:color="auto"/>
        <w:left w:val="none" w:sz="0" w:space="0" w:color="auto"/>
        <w:bottom w:val="none" w:sz="0" w:space="0" w:color="auto"/>
        <w:right w:val="none" w:sz="0" w:space="0" w:color="auto"/>
      </w:divBdr>
    </w:div>
    <w:div w:id="1633049123">
      <w:bodyDiv w:val="1"/>
      <w:marLeft w:val="0"/>
      <w:marRight w:val="0"/>
      <w:marTop w:val="0"/>
      <w:marBottom w:val="0"/>
      <w:divBdr>
        <w:top w:val="none" w:sz="0" w:space="0" w:color="auto"/>
        <w:left w:val="none" w:sz="0" w:space="0" w:color="auto"/>
        <w:bottom w:val="none" w:sz="0" w:space="0" w:color="auto"/>
        <w:right w:val="none" w:sz="0" w:space="0" w:color="auto"/>
      </w:divBdr>
    </w:div>
    <w:div w:id="2033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McWhinnie</dc:creator>
  <cp:lastModifiedBy>Sean McWhinnie</cp:lastModifiedBy>
  <cp:revision>2</cp:revision>
  <dcterms:created xsi:type="dcterms:W3CDTF">2016-05-23T13:18:00Z</dcterms:created>
  <dcterms:modified xsi:type="dcterms:W3CDTF">2016-05-23T13:18:00Z</dcterms:modified>
</cp:coreProperties>
</file>